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BB2831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</w:tr>
    </w:tbl>
    <w:p w:rsidR="00136F9D" w:rsidRPr="00136F9D" w:rsidRDefault="00393284" w:rsidP="00393284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VOTO EM SEPARADO</w:t>
      </w:r>
    </w:p>
    <w:p w:rsidR="00393284" w:rsidRDefault="0039328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393284" w:rsidRDefault="0039328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48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933492">
        <w:rPr>
          <w:rFonts w:ascii="Arial" w:hAnsi="Arial" w:cs="Arial"/>
        </w:rPr>
        <w:t>68/2025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48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2 ao Projeto de Lei nº 29/2025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48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48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“Semana Municipal de Conscientização e Prevenção ao Câncer </w:t>
      </w:r>
      <w:proofErr w:type="spellStart"/>
      <w:r w:rsidRPr="00136F9D">
        <w:rPr>
          <w:rFonts w:ascii="Arial" w:eastAsia="Times New Roman" w:hAnsi="Arial" w:cs="Arial"/>
          <w:szCs w:val="24"/>
          <w:lang w:eastAsia="pt-BR"/>
        </w:rPr>
        <w:t>Colorretal</w:t>
      </w:r>
      <w:proofErr w:type="spellEnd"/>
      <w:r w:rsidRPr="00136F9D">
        <w:rPr>
          <w:rFonts w:ascii="Arial" w:eastAsia="Times New Roman" w:hAnsi="Arial" w:cs="Arial"/>
          <w:szCs w:val="24"/>
          <w:lang w:eastAsia="pt-BR"/>
        </w:rPr>
        <w:t xml:space="preserve"> – Preta Gil”.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A presente manifestação visa a justificar, de forma clara e fundamentada, a recusa ao parecer emitido pela Comissão de Tributação, Finanças e Orçamento desta Câmara Municipal que institui e inclui no Calendário Oficial de Eventos do Município de Araraquara a “Semana Municipal de Conscientização e Prevenção ao Câncer </w:t>
      </w:r>
      <w:proofErr w:type="spellStart"/>
      <w:r w:rsidRPr="00393284">
        <w:rPr>
          <w:rFonts w:ascii="Arial" w:eastAsia="Times New Roman" w:hAnsi="Arial" w:cs="Arial"/>
          <w:szCs w:val="24"/>
          <w:lang w:eastAsia="pt-BR"/>
        </w:rPr>
        <w:t>Colorretal</w:t>
      </w:r>
      <w:proofErr w:type="spellEnd"/>
      <w:r w:rsidRPr="00393284">
        <w:rPr>
          <w:rFonts w:ascii="Arial" w:eastAsia="Times New Roman" w:hAnsi="Arial" w:cs="Arial"/>
          <w:szCs w:val="24"/>
          <w:lang w:eastAsia="pt-BR"/>
        </w:rPr>
        <w:t xml:space="preserve"> – Preta Gil”.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1. Inconsistência de indicar um nome específico para tal projeto de lei: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Após análise detalhada da documentação apresentada e sua justificativa, entendo a importância do projeto no sentido de conscientizar a população quanto à prevenção do câncer, não só </w:t>
      </w:r>
      <w:proofErr w:type="spellStart"/>
      <w:r w:rsidRPr="00393284">
        <w:rPr>
          <w:rFonts w:ascii="Arial" w:eastAsia="Times New Roman" w:hAnsi="Arial" w:cs="Arial"/>
          <w:szCs w:val="24"/>
          <w:lang w:eastAsia="pt-BR"/>
        </w:rPr>
        <w:t>colorretal</w:t>
      </w:r>
      <w:proofErr w:type="spellEnd"/>
      <w:r w:rsidRPr="00393284">
        <w:rPr>
          <w:rFonts w:ascii="Arial" w:eastAsia="Times New Roman" w:hAnsi="Arial" w:cs="Arial"/>
          <w:szCs w:val="24"/>
          <w:lang w:eastAsia="pt-BR"/>
        </w:rPr>
        <w:t xml:space="preserve">, mas qualquer parte do corpo atingida por essa trágica doença que mata mais de 250.000 mil pessoas por ano no país, em especial o colo retal que é o segundo tipo que mais mata no Brasil, pelo que parabenizo a nobre vereadora pela inciativa. Porém, identifico que não há necessidade de se nominar a semana de prevenção com um nome em específico, seja ele quem for, pois, além da Preta Gil, há inúmeros famosos que também tiveram a mesma doença, bem como milhares de brasileiros anônimos que sofrem com essa enfermidade. Famosos como os jogadores Pelé e Roberto Dinamite, a cantora Simony, a apresentadora Ana Maria Braga, o jornalista Carlos Nascimento, os atores Tarcísio Meira, Glauce Rocha e Paulo José, a atriz Lúcia Veríssimo, dentre outros.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2. Afronta ao princípio da impessoalidade: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>Importante destacar que a administração pública deve atuar de forma impessoal, sem privilegiar ou promover indivíduos, o que reforça a ideia de que as leis e políticas públicas devem beneficiar a coletividade de maneira neutra e igualitária.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3. Evitar culto à determinada personalidade: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A adoção de nomes de pessoas famosas pode contribuir para o culto à personalidade, desviando o foco do conteúdo e dos objetivos da lei para a imagem individual, o que não é desejável em uma instituição democrática.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4. Neutralidade e universalidade: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Ao não nomear o projeto em homenagem a uma figura específica, garante-se que a lei seja vista como um instrumento de interesse coletivo, sem conotações que possam favorecer ou prejudicar grupos ou ideologias associadas ao nome escolhido.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5. Risco de Polêmica e Contestação: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A utilização do nome de um famoso ou famosa pode gerar debates e divisões na sociedade, principalmente se a figura em questão tiver opiniões ou trajetórias controversas. Isso pode desviar o debate do mérito do projeto para questões pessoais ou ideológicas.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 xml:space="preserve">6. Valorização do conteúdo e dos objetivos: </w:t>
      </w: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>O enfoque do projeto deve estar nos benefícios que ele trará para a população e na melhoria de serviços ou políticas públicas a serem adotadas pela Prefeitura e pela Secretaria Municipal de Saúde, e não na promoção de indivíduos. A neutralidade no título ajuda a concentrar a atenção nos resultados esperados e na eficácia da lei.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393284">
        <w:rPr>
          <w:rFonts w:ascii="Arial" w:eastAsia="Times New Roman" w:hAnsi="Arial" w:cs="Arial"/>
          <w:b/>
          <w:szCs w:val="24"/>
          <w:lang w:eastAsia="pt-BR"/>
        </w:rPr>
        <w:t>Conclusão: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Diante dos fatos expostos, considera-se que o parecer apresentado pela Comissão de Finanças e Orçamento não atende ao princípio da imparcialidade e impessoalidade, devendo sim ser aprovado o projeto por unanimidade, porém sem a designação de um nome específico como indicado. Tais justificativas acima reforçam a importância de manter os projetos de lei alinhados com os princípios da administração pública, assegurando que sejam instrumentos de transformação social e não veículos de promoção de personalidades específicas. </w:t>
      </w: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3284" w:rsidRPr="00393284" w:rsidRDefault="00393284" w:rsidP="0039328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393284">
        <w:rPr>
          <w:rFonts w:ascii="Arial" w:eastAsia="Times New Roman" w:hAnsi="Arial" w:cs="Arial"/>
          <w:szCs w:val="24"/>
          <w:lang w:eastAsia="pt-BR"/>
        </w:rPr>
        <w:t xml:space="preserve">É o voto em separado. 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512481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>2</w:t>
      </w:r>
      <w:r w:rsidR="00393284">
        <w:rPr>
          <w:rFonts w:ascii="Arial" w:eastAsia="Times New Roman" w:hAnsi="Arial" w:cs="Arial"/>
          <w:bCs/>
          <w:szCs w:val="24"/>
          <w:lang w:eastAsia="pt-BR"/>
        </w:rPr>
        <w:t>2</w:t>
      </w:r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julho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512481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393284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sectPr w:rsidR="00DA21D3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10" w:rsidRDefault="00551E10">
      <w:pPr>
        <w:spacing w:line="240" w:lineRule="auto"/>
      </w:pPr>
      <w:r>
        <w:separator/>
      </w:r>
    </w:p>
  </w:endnote>
  <w:endnote w:type="continuationSeparator" w:id="0">
    <w:p w:rsidR="00551E10" w:rsidRDefault="00551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51248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51248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51248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12481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3284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3284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10" w:rsidRDefault="00551E10">
      <w:pPr>
        <w:spacing w:line="240" w:lineRule="auto"/>
      </w:pPr>
      <w:r>
        <w:separator/>
      </w:r>
    </w:p>
  </w:footnote>
  <w:footnote w:type="continuationSeparator" w:id="0">
    <w:p w:rsidR="00551E10" w:rsidRDefault="00551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1248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4084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93284" w:rsidP="00393284">
    <w:pPr>
      <w:spacing w:line="240" w:lineRule="auto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7E4C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C029E" w:tentative="1">
      <w:start w:val="1"/>
      <w:numFmt w:val="lowerLetter"/>
      <w:lvlText w:val="%2."/>
      <w:lvlJc w:val="left"/>
      <w:pPr>
        <w:ind w:left="1440" w:hanging="360"/>
      </w:pPr>
    </w:lvl>
    <w:lvl w:ilvl="2" w:tplc="C78E3DA4" w:tentative="1">
      <w:start w:val="1"/>
      <w:numFmt w:val="lowerRoman"/>
      <w:lvlText w:val="%3."/>
      <w:lvlJc w:val="right"/>
      <w:pPr>
        <w:ind w:left="2160" w:hanging="180"/>
      </w:pPr>
    </w:lvl>
    <w:lvl w:ilvl="3" w:tplc="0B8C525A" w:tentative="1">
      <w:start w:val="1"/>
      <w:numFmt w:val="decimal"/>
      <w:lvlText w:val="%4."/>
      <w:lvlJc w:val="left"/>
      <w:pPr>
        <w:ind w:left="2880" w:hanging="360"/>
      </w:pPr>
    </w:lvl>
    <w:lvl w:ilvl="4" w:tplc="C9348774" w:tentative="1">
      <w:start w:val="1"/>
      <w:numFmt w:val="lowerLetter"/>
      <w:lvlText w:val="%5."/>
      <w:lvlJc w:val="left"/>
      <w:pPr>
        <w:ind w:left="3600" w:hanging="360"/>
      </w:pPr>
    </w:lvl>
    <w:lvl w:ilvl="5" w:tplc="008E9DEE" w:tentative="1">
      <w:start w:val="1"/>
      <w:numFmt w:val="lowerRoman"/>
      <w:lvlText w:val="%6."/>
      <w:lvlJc w:val="right"/>
      <w:pPr>
        <w:ind w:left="4320" w:hanging="180"/>
      </w:pPr>
    </w:lvl>
    <w:lvl w:ilvl="6" w:tplc="3DE855D8" w:tentative="1">
      <w:start w:val="1"/>
      <w:numFmt w:val="decimal"/>
      <w:lvlText w:val="%7."/>
      <w:lvlJc w:val="left"/>
      <w:pPr>
        <w:ind w:left="5040" w:hanging="360"/>
      </w:pPr>
    </w:lvl>
    <w:lvl w:ilvl="7" w:tplc="BD8EA664" w:tentative="1">
      <w:start w:val="1"/>
      <w:numFmt w:val="lowerLetter"/>
      <w:lvlText w:val="%8."/>
      <w:lvlJc w:val="left"/>
      <w:pPr>
        <w:ind w:left="5760" w:hanging="360"/>
      </w:pPr>
    </w:lvl>
    <w:lvl w:ilvl="8" w:tplc="ED4C3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45E53B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168B916" w:tentative="1">
      <w:start w:val="1"/>
      <w:numFmt w:val="lowerLetter"/>
      <w:lvlText w:val="%2."/>
      <w:lvlJc w:val="left"/>
      <w:pPr>
        <w:ind w:left="1130" w:hanging="360"/>
      </w:pPr>
    </w:lvl>
    <w:lvl w:ilvl="2" w:tplc="059A2DA2" w:tentative="1">
      <w:start w:val="1"/>
      <w:numFmt w:val="lowerRoman"/>
      <w:lvlText w:val="%3."/>
      <w:lvlJc w:val="right"/>
      <w:pPr>
        <w:ind w:left="1850" w:hanging="180"/>
      </w:pPr>
    </w:lvl>
    <w:lvl w:ilvl="3" w:tplc="F600EA54" w:tentative="1">
      <w:start w:val="1"/>
      <w:numFmt w:val="decimal"/>
      <w:lvlText w:val="%4."/>
      <w:lvlJc w:val="left"/>
      <w:pPr>
        <w:ind w:left="2570" w:hanging="360"/>
      </w:pPr>
    </w:lvl>
    <w:lvl w:ilvl="4" w:tplc="2CFE6358" w:tentative="1">
      <w:start w:val="1"/>
      <w:numFmt w:val="lowerLetter"/>
      <w:lvlText w:val="%5."/>
      <w:lvlJc w:val="left"/>
      <w:pPr>
        <w:ind w:left="3290" w:hanging="360"/>
      </w:pPr>
    </w:lvl>
    <w:lvl w:ilvl="5" w:tplc="B14E6E54" w:tentative="1">
      <w:start w:val="1"/>
      <w:numFmt w:val="lowerRoman"/>
      <w:lvlText w:val="%6."/>
      <w:lvlJc w:val="right"/>
      <w:pPr>
        <w:ind w:left="4010" w:hanging="180"/>
      </w:pPr>
    </w:lvl>
    <w:lvl w:ilvl="6" w:tplc="0DEA4290" w:tentative="1">
      <w:start w:val="1"/>
      <w:numFmt w:val="decimal"/>
      <w:lvlText w:val="%7."/>
      <w:lvlJc w:val="left"/>
      <w:pPr>
        <w:ind w:left="4730" w:hanging="360"/>
      </w:pPr>
    </w:lvl>
    <w:lvl w:ilvl="7" w:tplc="18CEFEAA" w:tentative="1">
      <w:start w:val="1"/>
      <w:numFmt w:val="lowerLetter"/>
      <w:lvlText w:val="%8."/>
      <w:lvlJc w:val="left"/>
      <w:pPr>
        <w:ind w:left="5450" w:hanging="360"/>
      </w:pPr>
    </w:lvl>
    <w:lvl w:ilvl="8" w:tplc="4F722F6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FAAA26E">
      <w:start w:val="1"/>
      <w:numFmt w:val="decimal"/>
      <w:lvlText w:val="%1."/>
      <w:lvlJc w:val="left"/>
      <w:pPr>
        <w:ind w:left="770" w:hanging="360"/>
      </w:pPr>
    </w:lvl>
    <w:lvl w:ilvl="1" w:tplc="E7BCBCA0" w:tentative="1">
      <w:start w:val="1"/>
      <w:numFmt w:val="lowerLetter"/>
      <w:lvlText w:val="%2."/>
      <w:lvlJc w:val="left"/>
      <w:pPr>
        <w:ind w:left="1490" w:hanging="360"/>
      </w:pPr>
    </w:lvl>
    <w:lvl w:ilvl="2" w:tplc="C1C8895E" w:tentative="1">
      <w:start w:val="1"/>
      <w:numFmt w:val="lowerRoman"/>
      <w:lvlText w:val="%3."/>
      <w:lvlJc w:val="right"/>
      <w:pPr>
        <w:ind w:left="2210" w:hanging="180"/>
      </w:pPr>
    </w:lvl>
    <w:lvl w:ilvl="3" w:tplc="596853F0" w:tentative="1">
      <w:start w:val="1"/>
      <w:numFmt w:val="decimal"/>
      <w:lvlText w:val="%4."/>
      <w:lvlJc w:val="left"/>
      <w:pPr>
        <w:ind w:left="2930" w:hanging="360"/>
      </w:pPr>
    </w:lvl>
    <w:lvl w:ilvl="4" w:tplc="AE2AF78A" w:tentative="1">
      <w:start w:val="1"/>
      <w:numFmt w:val="lowerLetter"/>
      <w:lvlText w:val="%5."/>
      <w:lvlJc w:val="left"/>
      <w:pPr>
        <w:ind w:left="3650" w:hanging="360"/>
      </w:pPr>
    </w:lvl>
    <w:lvl w:ilvl="5" w:tplc="F13C14A6" w:tentative="1">
      <w:start w:val="1"/>
      <w:numFmt w:val="lowerRoman"/>
      <w:lvlText w:val="%6."/>
      <w:lvlJc w:val="right"/>
      <w:pPr>
        <w:ind w:left="4370" w:hanging="180"/>
      </w:pPr>
    </w:lvl>
    <w:lvl w:ilvl="6" w:tplc="68642AAA" w:tentative="1">
      <w:start w:val="1"/>
      <w:numFmt w:val="decimal"/>
      <w:lvlText w:val="%7."/>
      <w:lvlJc w:val="left"/>
      <w:pPr>
        <w:ind w:left="5090" w:hanging="360"/>
      </w:pPr>
    </w:lvl>
    <w:lvl w:ilvl="7" w:tplc="17EC1BD4" w:tentative="1">
      <w:start w:val="1"/>
      <w:numFmt w:val="lowerLetter"/>
      <w:lvlText w:val="%8."/>
      <w:lvlJc w:val="left"/>
      <w:pPr>
        <w:ind w:left="5810" w:hanging="360"/>
      </w:pPr>
    </w:lvl>
    <w:lvl w:ilvl="8" w:tplc="079C29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93284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12481"/>
    <w:rsid w:val="00520A83"/>
    <w:rsid w:val="0052369A"/>
    <w:rsid w:val="00527C4D"/>
    <w:rsid w:val="00530438"/>
    <w:rsid w:val="005345CD"/>
    <w:rsid w:val="00535F1C"/>
    <w:rsid w:val="00543C84"/>
    <w:rsid w:val="005479AE"/>
    <w:rsid w:val="00551E10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3871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3492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2831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6511-AB8D-4AAF-82E3-3090698D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</cp:revision>
  <cp:lastPrinted>2018-06-08T17:01:00Z</cp:lastPrinted>
  <dcterms:created xsi:type="dcterms:W3CDTF">2025-07-22T17:08:00Z</dcterms:created>
  <dcterms:modified xsi:type="dcterms:W3CDTF">2025-07-22T17:14:00Z</dcterms:modified>
</cp:coreProperties>
</file>