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9E5EDC" w:rsidTr="0086780D">
        <w:tc>
          <w:tcPr>
            <w:tcW w:w="2552" w:type="dxa"/>
          </w:tcPr>
          <w:p w:rsidR="006848DA" w:rsidRPr="006848DA" w:rsidRDefault="00F0549D"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F0549D"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145</w:t>
            </w:r>
          </w:p>
        </w:tc>
        <w:tc>
          <w:tcPr>
            <w:tcW w:w="1797" w:type="dxa"/>
          </w:tcPr>
          <w:p w:rsidR="006848DA" w:rsidRPr="006848DA" w:rsidRDefault="00F0549D"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F0549D"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Lei nº 103/2025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F0549D"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185/2025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F0549D"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FABI VIRGÍLIO</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F0549D"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Assegura aos recém-nascidos na rede pública de saúde do Município de Araraquara a realização do teste para diagnóstico de doenças previsto no Programa Nacional de Triagem Neonatal (PNTN).</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4A682E" w:rsidRDefault="00F0549D"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4A682E">
        <w:rPr>
          <w:rFonts w:ascii="Arial" w:eastAsia="Times New Roman" w:hAnsi="Arial" w:cs="Arial"/>
          <w:szCs w:val="24"/>
          <w:lang w:eastAsia="pt-BR"/>
        </w:rPr>
        <w:t>Trata o presente parecer</w:t>
      </w:r>
      <w:r w:rsidR="004A682E" w:rsidRPr="004A682E">
        <w:rPr>
          <w:rFonts w:ascii="Arial" w:eastAsia="Times New Roman" w:hAnsi="Arial" w:cs="Arial"/>
          <w:szCs w:val="24"/>
          <w:lang w:eastAsia="pt-BR"/>
        </w:rPr>
        <w:t xml:space="preserve"> de projeto</w:t>
      </w:r>
      <w:r w:rsidR="004A682E">
        <w:rPr>
          <w:rFonts w:ascii="Arial" w:eastAsia="Times New Roman" w:hAnsi="Arial" w:cs="Arial"/>
          <w:szCs w:val="24"/>
          <w:lang w:eastAsia="pt-BR"/>
        </w:rPr>
        <w:t xml:space="preserve"> de lei</w:t>
      </w:r>
      <w:r w:rsidR="004A682E" w:rsidRPr="004A682E">
        <w:rPr>
          <w:rFonts w:ascii="Arial" w:eastAsia="Times New Roman" w:hAnsi="Arial" w:cs="Arial"/>
          <w:szCs w:val="24"/>
          <w:lang w:eastAsia="pt-BR"/>
        </w:rPr>
        <w:t xml:space="preserve"> que, em síntese, visa garantir a partir do próximo exercício a implementação integral da triagem neonatal, conhecida como teste do pezinho, contemplando o diagnóstico de todo o rol de patologias listadas nos incisos I a V do § 1º do art. 10 da Lei Federal nº 8.069, de 13 de julho de 1990 – Estatuto da Criança e do Adolescente.</w:t>
      </w:r>
    </w:p>
    <w:p w:rsidR="004A682E" w:rsidRDefault="004A682E"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4A682E" w:rsidRDefault="004A682E" w:rsidP="004A682E">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C82722">
        <w:rPr>
          <w:rFonts w:ascii="Arial" w:eastAsia="Times New Roman" w:hAnsi="Arial" w:cs="Arial"/>
          <w:szCs w:val="24"/>
          <w:lang w:eastAsia="pt-BR"/>
        </w:rPr>
        <w:t>Inicialmente cabe esclarecer que</w:t>
      </w:r>
      <w:r w:rsidRPr="004A682E">
        <w:rPr>
          <w:rFonts w:ascii="Arial" w:eastAsia="Times New Roman" w:hAnsi="Arial" w:cs="Arial"/>
          <w:szCs w:val="24"/>
          <w:lang w:eastAsia="pt-BR"/>
        </w:rPr>
        <w:t xml:space="preserve"> o projeto apresentado pretende tornar mandatória em âmbito local a execução</w:t>
      </w:r>
      <w:r w:rsidR="00DE070F">
        <w:rPr>
          <w:rFonts w:ascii="Arial" w:eastAsia="Times New Roman" w:hAnsi="Arial" w:cs="Arial"/>
          <w:szCs w:val="24"/>
          <w:lang w:eastAsia="pt-BR"/>
        </w:rPr>
        <w:t xml:space="preserve"> na rede pública</w:t>
      </w:r>
      <w:r w:rsidRPr="004A682E">
        <w:rPr>
          <w:rFonts w:ascii="Arial" w:eastAsia="Times New Roman" w:hAnsi="Arial" w:cs="Arial"/>
          <w:szCs w:val="24"/>
          <w:lang w:eastAsia="pt-BR"/>
        </w:rPr>
        <w:t xml:space="preserve"> do teste para diagnóstico de doenças em recém-nascidos em sua modalidade ampliada, contemplando o diagnóstico integral e imediato de todas as doenças para as quais a referida lei federal somente prevê o diagnóstico com implementação gradual e</w:t>
      </w:r>
      <w:r w:rsidR="00661EEF">
        <w:rPr>
          <w:rFonts w:ascii="Arial" w:eastAsia="Times New Roman" w:hAnsi="Arial" w:cs="Arial"/>
          <w:szCs w:val="24"/>
          <w:lang w:eastAsia="pt-BR"/>
        </w:rPr>
        <w:t xml:space="preserve"> ainda não plenamente efetivada, não havendo que se falar em inocuidade da propositura.</w:t>
      </w:r>
    </w:p>
    <w:p w:rsidR="00661EEF" w:rsidRDefault="00661EEF" w:rsidP="004A682E">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4524A" w:rsidRDefault="00661EEF" w:rsidP="004A682E">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No</w:t>
      </w:r>
      <w:r w:rsidR="00F4524A" w:rsidRPr="00F4524A">
        <w:rPr>
          <w:rFonts w:ascii="Arial" w:eastAsia="Times New Roman" w:hAnsi="Arial" w:cs="Arial"/>
          <w:szCs w:val="24"/>
          <w:lang w:eastAsia="pt-BR"/>
        </w:rPr>
        <w:t xml:space="preserve"> que concerne à possibilidade de legislar localmente sobre o tema, entendemos como competente o munícipio para dispor sobre a matéria, visto tratar-se de suplementação da legislação federal visando o interesse local, conforme art. 30, I e II da Constituição Federal e uma vez que a propositura visa em última análise a promoção da saúde no município, em harmonia, portanto, com a competência comum dos entes prevista no Art. 23, II da Carta Maior.</w:t>
      </w:r>
    </w:p>
    <w:p w:rsidR="00661EEF" w:rsidRDefault="00661EEF" w:rsidP="004A682E">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61EEF" w:rsidRPr="00661EEF" w:rsidRDefault="00661EEF" w:rsidP="00661EEF">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510EF0">
        <w:rPr>
          <w:rFonts w:ascii="Arial" w:eastAsia="Times New Roman" w:hAnsi="Arial" w:cs="Arial"/>
          <w:szCs w:val="24"/>
          <w:lang w:eastAsia="pt-BR"/>
        </w:rPr>
        <w:t>N</w:t>
      </w:r>
      <w:r w:rsidRPr="00661EEF">
        <w:rPr>
          <w:rFonts w:ascii="Arial" w:eastAsia="Times New Roman" w:hAnsi="Arial" w:cs="Arial"/>
          <w:szCs w:val="24"/>
          <w:lang w:eastAsia="pt-BR"/>
        </w:rPr>
        <w:t>o que diz respeito à competência da vereança para iniciar o processo legislativo no caso presente, cabe pontuar, à luz do precedente estabelecido por meio do Tema 917 do Supremo Tribunal Federal, o rol de matérias de iniciativa privativa do Chefe do Poder Executivo deve ser interpretado de forma restrita, de modo que não usurpa a competência privativa do Chefe do Poder Executivo lei que, embora crie despesa para a Administração, não trata da sua estrutura ou da atribuição de seus órgãos, nem do regime jurídico de servidores públicos.</w:t>
      </w:r>
    </w:p>
    <w:p w:rsidR="00661EEF" w:rsidRPr="00661EEF" w:rsidRDefault="00661EEF" w:rsidP="00661EEF">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61EEF" w:rsidRPr="00661EEF" w:rsidRDefault="00510EF0" w:rsidP="00661EEF">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661EEF" w:rsidRPr="00661EEF">
        <w:rPr>
          <w:rFonts w:ascii="Arial" w:eastAsia="Times New Roman" w:hAnsi="Arial" w:cs="Arial"/>
          <w:szCs w:val="24"/>
          <w:lang w:eastAsia="pt-BR"/>
        </w:rPr>
        <w:t xml:space="preserve">Nesse sentido, entendemos que o projeto não confere novas atribuições aos órgãos públicos municipais ou seus servidores, nem viola à reserva de administração do Poder Executivo, não havendo que se falar em </w:t>
      </w:r>
      <w:r w:rsidR="00661EEF" w:rsidRPr="00661EEF">
        <w:rPr>
          <w:rFonts w:ascii="Arial" w:eastAsia="Times New Roman" w:hAnsi="Arial" w:cs="Arial"/>
          <w:szCs w:val="24"/>
          <w:lang w:eastAsia="pt-BR"/>
        </w:rPr>
        <w:lastRenderedPageBreak/>
        <w:t>vício de iniciativa, em linha inclusive o entendimento do Tribunal de Justiça do Esta</w:t>
      </w:r>
      <w:r w:rsidR="00DE706D">
        <w:rPr>
          <w:rFonts w:ascii="Arial" w:eastAsia="Times New Roman" w:hAnsi="Arial" w:cs="Arial"/>
          <w:szCs w:val="24"/>
          <w:lang w:eastAsia="pt-BR"/>
        </w:rPr>
        <w:t>do de São Paulo em caso similar:</w:t>
      </w:r>
    </w:p>
    <w:p w:rsidR="00661EEF" w:rsidRPr="00661EEF" w:rsidRDefault="00661EEF" w:rsidP="00661EEF">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61EEF" w:rsidRPr="00510EF0" w:rsidRDefault="00661EEF" w:rsidP="00510EF0">
      <w:pPr>
        <w:tabs>
          <w:tab w:val="left" w:pos="709"/>
          <w:tab w:val="left" w:pos="1418"/>
        </w:tabs>
        <w:autoSpaceDE w:val="0"/>
        <w:autoSpaceDN w:val="0"/>
        <w:spacing w:line="240" w:lineRule="auto"/>
        <w:ind w:left="1701" w:right="1134"/>
        <w:jc w:val="both"/>
        <w:rPr>
          <w:rFonts w:ascii="Arial" w:eastAsia="Times New Roman" w:hAnsi="Arial" w:cs="Arial"/>
          <w:sz w:val="22"/>
          <w:lang w:eastAsia="pt-BR"/>
        </w:rPr>
      </w:pPr>
      <w:r w:rsidRPr="00510EF0">
        <w:rPr>
          <w:rFonts w:ascii="Arial" w:eastAsia="Times New Roman" w:hAnsi="Arial" w:cs="Arial"/>
          <w:sz w:val="22"/>
          <w:lang w:eastAsia="pt-BR"/>
        </w:rPr>
        <w:t xml:space="preserve">AÇÃO DIRETA DE INCONSTITUCIONALIDADE – </w:t>
      </w:r>
      <w:r w:rsidRPr="00DE706D">
        <w:rPr>
          <w:rFonts w:ascii="Arial" w:eastAsia="Times New Roman" w:hAnsi="Arial" w:cs="Arial"/>
          <w:b/>
          <w:sz w:val="22"/>
          <w:lang w:eastAsia="pt-BR"/>
        </w:rPr>
        <w:t>LEI MUNICIPAL</w:t>
      </w:r>
      <w:r w:rsidRPr="00510EF0">
        <w:rPr>
          <w:rFonts w:ascii="Arial" w:eastAsia="Times New Roman" w:hAnsi="Arial" w:cs="Arial"/>
          <w:sz w:val="22"/>
          <w:lang w:eastAsia="pt-BR"/>
        </w:rPr>
        <w:t xml:space="preserve"> Nº 5.630, DE 15-9-2020, DO MUNICÍPIO DE MAUÁ, </w:t>
      </w:r>
      <w:r w:rsidRPr="00DE706D">
        <w:rPr>
          <w:rFonts w:ascii="Arial" w:eastAsia="Times New Roman" w:hAnsi="Arial" w:cs="Arial"/>
          <w:b/>
          <w:sz w:val="22"/>
          <w:lang w:eastAsia="pt-BR"/>
        </w:rPr>
        <w:t>QUE OBRIGA OS HOSPITAIS-MATERNIDADE DA REDE PÚBLICA</w:t>
      </w:r>
      <w:r w:rsidRPr="00510EF0">
        <w:rPr>
          <w:rFonts w:ascii="Arial" w:eastAsia="Times New Roman" w:hAnsi="Arial" w:cs="Arial"/>
          <w:sz w:val="22"/>
          <w:lang w:eastAsia="pt-BR"/>
        </w:rPr>
        <w:t xml:space="preserve"> E DA REDE PRIVADA CONVENIADOS À REDE PÚBLICA </w:t>
      </w:r>
      <w:r w:rsidRPr="00DE706D">
        <w:rPr>
          <w:rFonts w:ascii="Arial" w:eastAsia="Times New Roman" w:hAnsi="Arial" w:cs="Arial"/>
          <w:b/>
          <w:sz w:val="22"/>
          <w:lang w:eastAsia="pt-BR"/>
        </w:rPr>
        <w:t xml:space="preserve">A REALIZAREM, GRATUITAMENTE, EM TODAS AS CRIANÇAS </w:t>
      </w:r>
      <w:r w:rsidRPr="00510EF0">
        <w:rPr>
          <w:rFonts w:ascii="Arial" w:eastAsia="Times New Roman" w:hAnsi="Arial" w:cs="Arial"/>
          <w:sz w:val="22"/>
          <w:lang w:eastAsia="pt-BR"/>
        </w:rPr>
        <w:t xml:space="preserve">NASCIDAS EM SUAS DEPENDÊNCIAS OU EM CRIANÇAS COM ATÉ TRÊS MESES DE VIDA NASCIDAS FORA DOS HOSPITAIS E MATERNIDADES, O </w:t>
      </w:r>
      <w:r w:rsidRPr="00DE706D">
        <w:rPr>
          <w:rFonts w:ascii="Arial" w:eastAsia="Times New Roman" w:hAnsi="Arial" w:cs="Arial"/>
          <w:b/>
          <w:sz w:val="22"/>
          <w:lang w:eastAsia="pt-BR"/>
        </w:rPr>
        <w:t>'EXAME DA AUDIÇÃO'</w:t>
      </w:r>
      <w:r w:rsidRPr="00510EF0">
        <w:rPr>
          <w:rFonts w:ascii="Arial" w:eastAsia="Times New Roman" w:hAnsi="Arial" w:cs="Arial"/>
          <w:sz w:val="22"/>
          <w:lang w:eastAsia="pt-BR"/>
        </w:rPr>
        <w:t xml:space="preserve">. 1. </w:t>
      </w:r>
      <w:r w:rsidRPr="00084674">
        <w:rPr>
          <w:rFonts w:ascii="Arial" w:eastAsia="Times New Roman" w:hAnsi="Arial" w:cs="Arial"/>
          <w:b/>
          <w:sz w:val="22"/>
          <w:lang w:eastAsia="pt-BR"/>
        </w:rPr>
        <w:t xml:space="preserve">INCONSTITUCIONALIDADE FORMAL E MATERIAL. INOCORRÊNCIA. </w:t>
      </w:r>
      <w:r w:rsidRPr="00510EF0">
        <w:rPr>
          <w:rFonts w:ascii="Arial" w:eastAsia="Times New Roman" w:hAnsi="Arial" w:cs="Arial"/>
          <w:sz w:val="22"/>
          <w:lang w:eastAsia="pt-BR"/>
        </w:rPr>
        <w:t>VIOLAÇÃO AO PRINCÍPIO DA SEPARAÇÃO ENTRE OS PODERES: VÍCIO DE INICIATIVA E RESERVA DA ADMINISTRAÇÃO. PROGRAMA DE SAÚDE PÚBLICA. PROTEÇÃO E DEFESA DA SAÚDE. INAPLICABILIDADE DO TEMA 917 DE REPERCUSSÃO GERAL DO STF. NORMA NÃO TRATA DE ESTRUTURA OU DE ATRIBUIÇÃO DE ÓRGÃO NEM DE REGIME JURÍDICO DE SERVIDORES PÚBLICOS. COMPETÊNCIA LEGISLATIVA CONCORRENTE</w:t>
      </w:r>
      <w:r w:rsidRPr="00DE706D">
        <w:rPr>
          <w:rFonts w:ascii="Arial" w:eastAsia="Times New Roman" w:hAnsi="Arial" w:cs="Arial"/>
          <w:b/>
          <w:sz w:val="22"/>
          <w:lang w:eastAsia="pt-BR"/>
        </w:rPr>
        <w:t>. MATÉRIA QUE NÃO ESTÁ INSERIDA NA RESERVA DA ADMINISTRAÇÃO</w:t>
      </w:r>
      <w:r w:rsidRPr="00510EF0">
        <w:rPr>
          <w:rFonts w:ascii="Arial" w:eastAsia="Times New Roman" w:hAnsi="Arial" w:cs="Arial"/>
          <w:sz w:val="22"/>
          <w:lang w:eastAsia="pt-BR"/>
        </w:rPr>
        <w:t xml:space="preserve">. 2. PROGRAMA DE SAÚDE PÚBLICA. PROTEÇÃO E DEFESA DA SAÚDE. ACESSO UNIVERSAL E IGUALITÁRIO ÀS AÇÕES E SERVIÇOS DE SAÚDE, EM TODOS OS NÍVEIS. </w:t>
      </w:r>
      <w:r w:rsidRPr="00DE706D">
        <w:rPr>
          <w:rFonts w:ascii="Arial" w:eastAsia="Times New Roman" w:hAnsi="Arial" w:cs="Arial"/>
          <w:b/>
          <w:sz w:val="22"/>
          <w:lang w:eastAsia="pt-BR"/>
        </w:rPr>
        <w:t>POSSIBILIDADE DE O MUNICÍPIO LEGISLAR EM CARÁTER SUPLETIVO SOBRE PROTEÇÃO À SAÚDE</w:t>
      </w:r>
      <w:r w:rsidRPr="00510EF0">
        <w:rPr>
          <w:rFonts w:ascii="Arial" w:eastAsia="Times New Roman" w:hAnsi="Arial" w:cs="Arial"/>
          <w:sz w:val="22"/>
          <w:lang w:eastAsia="pt-BR"/>
        </w:rPr>
        <w:t xml:space="preserve">, DE ACORDO COM O INTERESSE LOCAL, ART. 24, XII, DA CF/88. PRECEDENTES DO STF E DO ÓRGÃO ESPECIAL. 3. CRIAÇÃO DE DESPESAS COM EVENTUAL AUSÊNCIA DE RECEITAS ACARRETA, NO MÁXIMO, A INEXEQUIBILIDADE DA NORMA NO MESMO EXERCÍCIO EM QUE FOI PROMULGADA. 4. AÇÃO IMPROCEDENTE. LIMINAR CASSADA."  </w:t>
      </w:r>
    </w:p>
    <w:p w:rsidR="00661EEF" w:rsidRPr="00510EF0" w:rsidRDefault="00661EEF" w:rsidP="00510EF0">
      <w:pPr>
        <w:tabs>
          <w:tab w:val="left" w:pos="709"/>
          <w:tab w:val="left" w:pos="1418"/>
        </w:tabs>
        <w:autoSpaceDE w:val="0"/>
        <w:autoSpaceDN w:val="0"/>
        <w:spacing w:line="240" w:lineRule="auto"/>
        <w:ind w:left="1701" w:right="1134"/>
        <w:jc w:val="both"/>
        <w:rPr>
          <w:rFonts w:ascii="Arial" w:eastAsia="Times New Roman" w:hAnsi="Arial" w:cs="Arial"/>
          <w:sz w:val="22"/>
          <w:lang w:eastAsia="pt-BR"/>
        </w:rPr>
      </w:pPr>
      <w:r w:rsidRPr="00510EF0">
        <w:rPr>
          <w:rFonts w:ascii="Arial" w:eastAsia="Times New Roman" w:hAnsi="Arial" w:cs="Arial"/>
          <w:sz w:val="22"/>
          <w:lang w:eastAsia="pt-BR"/>
        </w:rPr>
        <w:t>(</w:t>
      </w:r>
      <w:r w:rsidRPr="00510EF0">
        <w:rPr>
          <w:rFonts w:ascii="Arial" w:eastAsia="Times New Roman" w:hAnsi="Arial" w:cs="Arial"/>
          <w:b/>
          <w:sz w:val="22"/>
          <w:lang w:eastAsia="pt-BR"/>
        </w:rPr>
        <w:t>TJSP; DIRETA DE INCONSTITUCIONALIDADE 2287868-03.2020.8.26.0000</w:t>
      </w:r>
      <w:r w:rsidRPr="00510EF0">
        <w:rPr>
          <w:rFonts w:ascii="Arial" w:eastAsia="Times New Roman" w:hAnsi="Arial" w:cs="Arial"/>
          <w:sz w:val="22"/>
          <w:lang w:eastAsia="pt-BR"/>
        </w:rPr>
        <w:t xml:space="preserve">; RELATOR (A): CARLOS BUENO; ÓRGÃO JULGADOR: ÓRGÃO ESPECIAL; TRIBUNAL DE JUSTIÇA DE SÃO PAULO - N/A; DATA DO JULGAMENTO: 04/08/2021; DATA DE REGISTRO: 06/08/2021 </w:t>
      </w:r>
      <w:r w:rsidRPr="00510EF0">
        <w:rPr>
          <w:rFonts w:ascii="Arial" w:eastAsia="Times New Roman" w:hAnsi="Arial" w:cs="Arial"/>
          <w:b/>
          <w:i/>
          <w:sz w:val="22"/>
          <w:lang w:eastAsia="pt-BR"/>
        </w:rPr>
        <w:t>– grifos nossos</w:t>
      </w:r>
      <w:r w:rsidRPr="00510EF0">
        <w:rPr>
          <w:rFonts w:ascii="Arial" w:eastAsia="Times New Roman" w:hAnsi="Arial" w:cs="Arial"/>
          <w:sz w:val="22"/>
          <w:lang w:eastAsia="pt-BR"/>
        </w:rPr>
        <w:t>)</w:t>
      </w:r>
    </w:p>
    <w:p w:rsidR="00661EEF" w:rsidRPr="00510EF0" w:rsidRDefault="00661EEF" w:rsidP="00510EF0">
      <w:pPr>
        <w:tabs>
          <w:tab w:val="left" w:pos="709"/>
          <w:tab w:val="left" w:pos="1418"/>
        </w:tabs>
        <w:autoSpaceDE w:val="0"/>
        <w:autoSpaceDN w:val="0"/>
        <w:spacing w:line="240" w:lineRule="auto"/>
        <w:ind w:left="1701" w:right="1134"/>
        <w:jc w:val="both"/>
        <w:rPr>
          <w:rFonts w:ascii="Arial" w:eastAsia="Times New Roman" w:hAnsi="Arial" w:cs="Arial"/>
          <w:sz w:val="22"/>
          <w:lang w:eastAsia="pt-BR"/>
        </w:rPr>
      </w:pPr>
    </w:p>
    <w:p w:rsidR="00661EEF" w:rsidRPr="00661EEF" w:rsidRDefault="00661EEF" w:rsidP="00661EEF">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084674" w:rsidRDefault="00084674" w:rsidP="0008467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661EEF" w:rsidRPr="00661EEF">
        <w:rPr>
          <w:rFonts w:ascii="Arial" w:eastAsia="Times New Roman" w:hAnsi="Arial" w:cs="Arial"/>
          <w:szCs w:val="24"/>
          <w:lang w:eastAsia="pt-BR"/>
        </w:rPr>
        <w:t xml:space="preserve">Ante todo o exposto, não vislumbramos óbice jurídico ao </w:t>
      </w:r>
      <w:r>
        <w:rPr>
          <w:rFonts w:ascii="Arial" w:eastAsia="Times New Roman" w:hAnsi="Arial" w:cs="Arial"/>
          <w:szCs w:val="24"/>
          <w:lang w:eastAsia="pt-BR"/>
        </w:rPr>
        <w:t>projeto</w:t>
      </w:r>
    </w:p>
    <w:p w:rsidR="00084674" w:rsidRDefault="00084674" w:rsidP="0008467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6848DA" w:rsidRDefault="00084674" w:rsidP="0008467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Ademais, propostura</w:t>
      </w:r>
      <w:bookmarkStart w:id="0" w:name="_GoBack"/>
      <w:bookmarkEnd w:id="0"/>
      <w:r w:rsidR="00F0549D" w:rsidRPr="006848DA">
        <w:rPr>
          <w:rFonts w:ascii="Arial" w:eastAsia="Times New Roman" w:hAnsi="Arial" w:cs="Arial"/>
          <w:szCs w:val="24"/>
          <w:lang w:eastAsia="pt-BR"/>
        </w:rPr>
        <w:t xml:space="preserve"> formalmente em ordem, atendendo às normas regimentais vigentes.</w:t>
      </w: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6848DA" w:rsidRDefault="00F0549D" w:rsidP="00B530E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B530E8">
        <w:rPr>
          <w:rFonts w:ascii="Arial" w:eastAsia="Times New Roman" w:hAnsi="Arial" w:cs="Arial"/>
          <w:szCs w:val="24"/>
          <w:lang w:eastAsia="pt-BR"/>
        </w:rPr>
        <w:t>....</w:t>
      </w: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6848DA" w:rsidRDefault="00F0549D"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BF1888">
        <w:rPr>
          <w:rFonts w:ascii="Arial" w:eastAsia="Times New Roman" w:hAnsi="Arial" w:cs="Arial"/>
          <w:szCs w:val="24"/>
          <w:lang w:eastAsia="pt-BR"/>
        </w:rPr>
        <w:t>Pela legalidade</w:t>
      </w:r>
      <w:r w:rsidRPr="006848DA">
        <w:rPr>
          <w:rFonts w:ascii="Arial" w:eastAsia="Times New Roman" w:hAnsi="Arial" w:cs="Arial"/>
          <w:szCs w:val="24"/>
          <w:lang w:eastAsia="pt-BR"/>
        </w:rPr>
        <w:t>.</w:t>
      </w:r>
      <w:r>
        <w:rPr>
          <w:rFonts w:ascii="Arial" w:eastAsia="Times New Roman" w:hAnsi="Arial" w:cs="Arial"/>
          <w:szCs w:val="24"/>
          <w:lang w:eastAsia="pt-BR"/>
        </w:rPr>
        <w:t xml:space="preserve"> </w:t>
      </w:r>
    </w:p>
    <w:p w:rsidR="006848DA" w:rsidRPr="006848DA" w:rsidRDefault="00F0549D"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 xml:space="preserve"> </w:t>
      </w:r>
    </w:p>
    <w:p w:rsidR="006848DA" w:rsidRPr="006848DA" w:rsidRDefault="00F0549D" w:rsidP="00BF188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BF1888">
        <w:rPr>
          <w:rFonts w:ascii="Arial" w:eastAsia="Times New Roman" w:hAnsi="Arial" w:cs="Arial"/>
          <w:szCs w:val="24"/>
          <w:lang w:eastAsia="pt-BR"/>
        </w:rPr>
        <w:t>À</w:t>
      </w:r>
      <w:r w:rsidR="00BF1888" w:rsidRPr="006848DA">
        <w:rPr>
          <w:rFonts w:ascii="Arial" w:eastAsia="Times New Roman" w:hAnsi="Arial" w:cs="Arial"/>
          <w:szCs w:val="24"/>
          <w:lang w:eastAsia="pt-BR"/>
        </w:rPr>
        <w:t xml:space="preserve"> Comissão de Tributação, Finanças e Orçamento </w:t>
      </w:r>
      <w:r w:rsidR="00BF1888">
        <w:rPr>
          <w:rFonts w:ascii="Arial" w:eastAsia="Times New Roman" w:hAnsi="Arial" w:cs="Arial"/>
          <w:szCs w:val="24"/>
          <w:lang w:eastAsia="pt-BR"/>
        </w:rPr>
        <w:t>para manifestação</w:t>
      </w:r>
      <w:r w:rsidR="00BF1888" w:rsidRPr="006848DA">
        <w:rPr>
          <w:rFonts w:ascii="Arial" w:eastAsia="Times New Roman" w:hAnsi="Arial" w:cs="Arial"/>
          <w:szCs w:val="24"/>
          <w:lang w:eastAsia="pt-BR"/>
        </w:rPr>
        <w:t>.</w:t>
      </w:r>
      <w:r w:rsidR="00BF1888">
        <w:rPr>
          <w:rFonts w:ascii="Arial" w:eastAsia="Times New Roman" w:hAnsi="Arial" w:cs="Arial"/>
          <w:szCs w:val="24"/>
          <w:lang w:eastAsia="pt-BR"/>
        </w:rPr>
        <w:t xml:space="preserve"> </w:t>
      </w:r>
    </w:p>
    <w:p w:rsidR="006848DA" w:rsidRPr="006848DA" w:rsidRDefault="00F0549D"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p>
    <w:p w:rsidR="006848DA" w:rsidRPr="006848DA" w:rsidRDefault="00F0549D"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7F3122" w:rsidRPr="007F3122" w:rsidRDefault="00F0549D"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 xml:space="preserve">Sala de reuniões das comissões, </w:t>
      </w:r>
      <w:r w:rsidR="00665AD2" w:rsidRPr="00665AD2">
        <w:rPr>
          <w:rFonts w:ascii="Arial" w:eastAsia="Times New Roman" w:hAnsi="Arial" w:cs="Arial"/>
          <w:bCs/>
          <w:szCs w:val="24"/>
          <w:lang w:eastAsia="pt-BR"/>
        </w:rPr>
        <w:t>28 de março de 2025</w:t>
      </w:r>
      <w:r w:rsidRPr="007F3122">
        <w:rPr>
          <w:rFonts w:ascii="Arial" w:eastAsia="Times New Roman" w:hAnsi="Arial" w:cs="Arial"/>
          <w:bCs/>
          <w:szCs w:val="24"/>
          <w:lang w:eastAsia="pt-BR"/>
        </w:rPr>
        <w:t>.</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F0549D"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F0549D" w:rsidP="00CF0CE2">
      <w:pPr>
        <w:spacing w:line="240" w:lineRule="auto"/>
        <w:jc w:val="center"/>
        <w:rPr>
          <w:rFonts w:ascii="Arial" w:hAnsi="Arial" w:cs="Arial"/>
          <w:b/>
          <w:bCs/>
          <w:szCs w:val="24"/>
        </w:rPr>
      </w:pPr>
      <w:r>
        <w:rPr>
          <w:rFonts w:ascii="Arial" w:hAnsi="Arial" w:cs="Arial"/>
          <w:b/>
          <w:bCs/>
          <w:szCs w:val="24"/>
        </w:rPr>
        <w:t>Dr. Lelo</w:t>
      </w:r>
    </w:p>
    <w:p w:rsidR="00CF0CE2" w:rsidRDefault="00F0549D"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F0549D"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F0549D"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w:t>
      </w:r>
      <w:proofErr w:type="spellStart"/>
      <w:r>
        <w:rPr>
          <w:rFonts w:ascii="Arial" w:hAnsi="Arial" w:cs="Arial"/>
          <w:b/>
          <w:bCs/>
          <w:szCs w:val="24"/>
        </w:rPr>
        <w:t>Geani</w:t>
      </w:r>
      <w:proofErr w:type="spellEnd"/>
      <w:r>
        <w:rPr>
          <w:rFonts w:ascii="Arial" w:hAnsi="Arial" w:cs="Arial"/>
          <w:b/>
          <w:bCs/>
          <w:szCs w:val="24"/>
        </w:rPr>
        <w:t xml:space="preserve"> </w:t>
      </w:r>
      <w:proofErr w:type="spellStart"/>
      <w:r>
        <w:rPr>
          <w:rFonts w:ascii="Arial" w:hAnsi="Arial" w:cs="Arial"/>
          <w:b/>
          <w:bCs/>
          <w:szCs w:val="24"/>
        </w:rPr>
        <w:t>Trevisóli</w:t>
      </w:r>
      <w:proofErr w:type="spellEnd"/>
      <w:r>
        <w:rPr>
          <w:rFonts w:ascii="Arial" w:hAnsi="Arial" w:cs="Arial"/>
          <w:b/>
          <w:bCs/>
          <w:szCs w:val="24"/>
        </w:rPr>
        <w:t xml:space="preserve">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6848DA" w:rsidRDefault="006848DA" w:rsidP="00BF1888">
      <w:pPr>
        <w:autoSpaceDE w:val="0"/>
        <w:autoSpaceDN w:val="0"/>
        <w:spacing w:line="240" w:lineRule="auto"/>
        <w:rPr>
          <w:rFonts w:ascii="Arial" w:eastAsia="Times New Roman" w:hAnsi="Arial" w:cs="Arial"/>
          <w:b/>
          <w:bCs/>
          <w:szCs w:val="24"/>
          <w:lang w:eastAsia="pt-BR"/>
        </w:rPr>
      </w:pPr>
    </w:p>
    <w:sectPr w:rsidR="006848DA"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991" w:rsidRDefault="00DA3991">
      <w:pPr>
        <w:spacing w:line="240" w:lineRule="auto"/>
      </w:pPr>
      <w:r>
        <w:separator/>
      </w:r>
    </w:p>
  </w:endnote>
  <w:endnote w:type="continuationSeparator" w:id="0">
    <w:p w:rsidR="00DA3991" w:rsidRDefault="00DA3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F0549D"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F0549D"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F0549D"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F0549D">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5136D7">
              <w:rPr>
                <w:rFonts w:asciiTheme="majorHAnsi" w:hAnsiTheme="majorHAnsi"/>
                <w:b/>
                <w:bCs/>
                <w:noProof/>
              </w:rPr>
              <w:t>2</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5136D7">
              <w:rPr>
                <w:rFonts w:asciiTheme="majorHAnsi" w:hAnsiTheme="majorHAnsi"/>
                <w:b/>
                <w:bCs/>
                <w:noProof/>
              </w:rPr>
              <w:t>3</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991" w:rsidRDefault="00DA3991">
      <w:pPr>
        <w:spacing w:line="240" w:lineRule="auto"/>
      </w:pPr>
      <w:r>
        <w:separator/>
      </w:r>
    </w:p>
  </w:footnote>
  <w:footnote w:type="continuationSeparator" w:id="0">
    <w:p w:rsidR="00DA3991" w:rsidRDefault="00DA39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F0549D"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8849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F0549D"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4CCCB844">
      <w:start w:val="1"/>
      <w:numFmt w:val="lowerLetter"/>
      <w:lvlText w:val="%1)"/>
      <w:lvlJc w:val="left"/>
      <w:pPr>
        <w:ind w:left="720" w:hanging="360"/>
      </w:pPr>
      <w:rPr>
        <w:rFonts w:hint="default"/>
      </w:rPr>
    </w:lvl>
    <w:lvl w:ilvl="1" w:tplc="A3488382" w:tentative="1">
      <w:start w:val="1"/>
      <w:numFmt w:val="lowerLetter"/>
      <w:lvlText w:val="%2."/>
      <w:lvlJc w:val="left"/>
      <w:pPr>
        <w:ind w:left="1440" w:hanging="360"/>
      </w:pPr>
    </w:lvl>
    <w:lvl w:ilvl="2" w:tplc="78061062" w:tentative="1">
      <w:start w:val="1"/>
      <w:numFmt w:val="lowerRoman"/>
      <w:lvlText w:val="%3."/>
      <w:lvlJc w:val="right"/>
      <w:pPr>
        <w:ind w:left="2160" w:hanging="180"/>
      </w:pPr>
    </w:lvl>
    <w:lvl w:ilvl="3" w:tplc="F61AEEF0" w:tentative="1">
      <w:start w:val="1"/>
      <w:numFmt w:val="decimal"/>
      <w:lvlText w:val="%4."/>
      <w:lvlJc w:val="left"/>
      <w:pPr>
        <w:ind w:left="2880" w:hanging="360"/>
      </w:pPr>
    </w:lvl>
    <w:lvl w:ilvl="4" w:tplc="30A6ACEE" w:tentative="1">
      <w:start w:val="1"/>
      <w:numFmt w:val="lowerLetter"/>
      <w:lvlText w:val="%5."/>
      <w:lvlJc w:val="left"/>
      <w:pPr>
        <w:ind w:left="3600" w:hanging="360"/>
      </w:pPr>
    </w:lvl>
    <w:lvl w:ilvl="5" w:tplc="D652B042" w:tentative="1">
      <w:start w:val="1"/>
      <w:numFmt w:val="lowerRoman"/>
      <w:lvlText w:val="%6."/>
      <w:lvlJc w:val="right"/>
      <w:pPr>
        <w:ind w:left="4320" w:hanging="180"/>
      </w:pPr>
    </w:lvl>
    <w:lvl w:ilvl="6" w:tplc="7F4C26A2" w:tentative="1">
      <w:start w:val="1"/>
      <w:numFmt w:val="decimal"/>
      <w:lvlText w:val="%7."/>
      <w:lvlJc w:val="left"/>
      <w:pPr>
        <w:ind w:left="5040" w:hanging="360"/>
      </w:pPr>
    </w:lvl>
    <w:lvl w:ilvl="7" w:tplc="A2E484F8" w:tentative="1">
      <w:start w:val="1"/>
      <w:numFmt w:val="lowerLetter"/>
      <w:lvlText w:val="%8."/>
      <w:lvlJc w:val="left"/>
      <w:pPr>
        <w:ind w:left="5760" w:hanging="360"/>
      </w:pPr>
    </w:lvl>
    <w:lvl w:ilvl="8" w:tplc="8598B756"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4C860550">
      <w:start w:val="1"/>
      <w:numFmt w:val="lowerLetter"/>
      <w:lvlText w:val="%1)"/>
      <w:lvlJc w:val="left"/>
      <w:pPr>
        <w:ind w:left="410" w:hanging="360"/>
      </w:pPr>
      <w:rPr>
        <w:rFonts w:hint="default"/>
      </w:rPr>
    </w:lvl>
    <w:lvl w:ilvl="1" w:tplc="2AF43C90" w:tentative="1">
      <w:start w:val="1"/>
      <w:numFmt w:val="lowerLetter"/>
      <w:lvlText w:val="%2."/>
      <w:lvlJc w:val="left"/>
      <w:pPr>
        <w:ind w:left="1130" w:hanging="360"/>
      </w:pPr>
    </w:lvl>
    <w:lvl w:ilvl="2" w:tplc="ED206F20" w:tentative="1">
      <w:start w:val="1"/>
      <w:numFmt w:val="lowerRoman"/>
      <w:lvlText w:val="%3."/>
      <w:lvlJc w:val="right"/>
      <w:pPr>
        <w:ind w:left="1850" w:hanging="180"/>
      </w:pPr>
    </w:lvl>
    <w:lvl w:ilvl="3" w:tplc="7C68018C" w:tentative="1">
      <w:start w:val="1"/>
      <w:numFmt w:val="decimal"/>
      <w:lvlText w:val="%4."/>
      <w:lvlJc w:val="left"/>
      <w:pPr>
        <w:ind w:left="2570" w:hanging="360"/>
      </w:pPr>
    </w:lvl>
    <w:lvl w:ilvl="4" w:tplc="BBA0A3C0" w:tentative="1">
      <w:start w:val="1"/>
      <w:numFmt w:val="lowerLetter"/>
      <w:lvlText w:val="%5."/>
      <w:lvlJc w:val="left"/>
      <w:pPr>
        <w:ind w:left="3290" w:hanging="360"/>
      </w:pPr>
    </w:lvl>
    <w:lvl w:ilvl="5" w:tplc="8E108BD6" w:tentative="1">
      <w:start w:val="1"/>
      <w:numFmt w:val="lowerRoman"/>
      <w:lvlText w:val="%6."/>
      <w:lvlJc w:val="right"/>
      <w:pPr>
        <w:ind w:left="4010" w:hanging="180"/>
      </w:pPr>
    </w:lvl>
    <w:lvl w:ilvl="6" w:tplc="24683096" w:tentative="1">
      <w:start w:val="1"/>
      <w:numFmt w:val="decimal"/>
      <w:lvlText w:val="%7."/>
      <w:lvlJc w:val="left"/>
      <w:pPr>
        <w:ind w:left="4730" w:hanging="360"/>
      </w:pPr>
    </w:lvl>
    <w:lvl w:ilvl="7" w:tplc="52A60354" w:tentative="1">
      <w:start w:val="1"/>
      <w:numFmt w:val="lowerLetter"/>
      <w:lvlText w:val="%8."/>
      <w:lvlJc w:val="left"/>
      <w:pPr>
        <w:ind w:left="5450" w:hanging="360"/>
      </w:pPr>
    </w:lvl>
    <w:lvl w:ilvl="8" w:tplc="09FEC8C8"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A2EE05AA">
      <w:start w:val="1"/>
      <w:numFmt w:val="decimal"/>
      <w:lvlText w:val="%1."/>
      <w:lvlJc w:val="left"/>
      <w:pPr>
        <w:ind w:left="770" w:hanging="360"/>
      </w:pPr>
    </w:lvl>
    <w:lvl w:ilvl="1" w:tplc="A8E25CFC" w:tentative="1">
      <w:start w:val="1"/>
      <w:numFmt w:val="lowerLetter"/>
      <w:lvlText w:val="%2."/>
      <w:lvlJc w:val="left"/>
      <w:pPr>
        <w:ind w:left="1490" w:hanging="360"/>
      </w:pPr>
    </w:lvl>
    <w:lvl w:ilvl="2" w:tplc="BC7217C8" w:tentative="1">
      <w:start w:val="1"/>
      <w:numFmt w:val="lowerRoman"/>
      <w:lvlText w:val="%3."/>
      <w:lvlJc w:val="right"/>
      <w:pPr>
        <w:ind w:left="2210" w:hanging="180"/>
      </w:pPr>
    </w:lvl>
    <w:lvl w:ilvl="3" w:tplc="B386A0F6" w:tentative="1">
      <w:start w:val="1"/>
      <w:numFmt w:val="decimal"/>
      <w:lvlText w:val="%4."/>
      <w:lvlJc w:val="left"/>
      <w:pPr>
        <w:ind w:left="2930" w:hanging="360"/>
      </w:pPr>
    </w:lvl>
    <w:lvl w:ilvl="4" w:tplc="82EAE9AC" w:tentative="1">
      <w:start w:val="1"/>
      <w:numFmt w:val="lowerLetter"/>
      <w:lvlText w:val="%5."/>
      <w:lvlJc w:val="left"/>
      <w:pPr>
        <w:ind w:left="3650" w:hanging="360"/>
      </w:pPr>
    </w:lvl>
    <w:lvl w:ilvl="5" w:tplc="2702054A" w:tentative="1">
      <w:start w:val="1"/>
      <w:numFmt w:val="lowerRoman"/>
      <w:lvlText w:val="%6."/>
      <w:lvlJc w:val="right"/>
      <w:pPr>
        <w:ind w:left="4370" w:hanging="180"/>
      </w:pPr>
    </w:lvl>
    <w:lvl w:ilvl="6" w:tplc="68944BE0" w:tentative="1">
      <w:start w:val="1"/>
      <w:numFmt w:val="decimal"/>
      <w:lvlText w:val="%7."/>
      <w:lvlJc w:val="left"/>
      <w:pPr>
        <w:ind w:left="5090" w:hanging="360"/>
      </w:pPr>
    </w:lvl>
    <w:lvl w:ilvl="7" w:tplc="3D4AB4A4" w:tentative="1">
      <w:start w:val="1"/>
      <w:numFmt w:val="lowerLetter"/>
      <w:lvlText w:val="%8."/>
      <w:lvlJc w:val="left"/>
      <w:pPr>
        <w:ind w:left="5810" w:hanging="360"/>
      </w:pPr>
    </w:lvl>
    <w:lvl w:ilvl="8" w:tplc="A9F80ECC"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4674"/>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142F"/>
    <w:rsid w:val="00403D90"/>
    <w:rsid w:val="00405402"/>
    <w:rsid w:val="004061D9"/>
    <w:rsid w:val="004107A7"/>
    <w:rsid w:val="00437607"/>
    <w:rsid w:val="00452481"/>
    <w:rsid w:val="00457314"/>
    <w:rsid w:val="00467A4B"/>
    <w:rsid w:val="0048193E"/>
    <w:rsid w:val="00487FA6"/>
    <w:rsid w:val="004A682E"/>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10EF0"/>
    <w:rsid w:val="005136D7"/>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1EEF"/>
    <w:rsid w:val="0066306B"/>
    <w:rsid w:val="00663FFB"/>
    <w:rsid w:val="00665AD2"/>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36B56"/>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5EDC"/>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30E8"/>
    <w:rsid w:val="00B56353"/>
    <w:rsid w:val="00B57AFA"/>
    <w:rsid w:val="00B645B2"/>
    <w:rsid w:val="00B70FB6"/>
    <w:rsid w:val="00B80D48"/>
    <w:rsid w:val="00B87B27"/>
    <w:rsid w:val="00B92F72"/>
    <w:rsid w:val="00B9574E"/>
    <w:rsid w:val="00BB599F"/>
    <w:rsid w:val="00BC0DE9"/>
    <w:rsid w:val="00BD7ABC"/>
    <w:rsid w:val="00BF1888"/>
    <w:rsid w:val="00C01FE7"/>
    <w:rsid w:val="00C07535"/>
    <w:rsid w:val="00C1199D"/>
    <w:rsid w:val="00C20CBF"/>
    <w:rsid w:val="00C2184B"/>
    <w:rsid w:val="00C34361"/>
    <w:rsid w:val="00C670FA"/>
    <w:rsid w:val="00C67C79"/>
    <w:rsid w:val="00C71281"/>
    <w:rsid w:val="00C74A18"/>
    <w:rsid w:val="00C753FA"/>
    <w:rsid w:val="00C766C1"/>
    <w:rsid w:val="00C77659"/>
    <w:rsid w:val="00C82722"/>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A3991"/>
    <w:rsid w:val="00DB085F"/>
    <w:rsid w:val="00DB3ADC"/>
    <w:rsid w:val="00DB50EC"/>
    <w:rsid w:val="00DD0E2F"/>
    <w:rsid w:val="00DD2377"/>
    <w:rsid w:val="00DD6CA2"/>
    <w:rsid w:val="00DD70EB"/>
    <w:rsid w:val="00DE070F"/>
    <w:rsid w:val="00DE706D"/>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0549D"/>
    <w:rsid w:val="00F269F6"/>
    <w:rsid w:val="00F26D6E"/>
    <w:rsid w:val="00F2707E"/>
    <w:rsid w:val="00F4524A"/>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7D8-17D5-4C86-A990-A0917EBA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721</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Ewerton da Silva Vilela</cp:lastModifiedBy>
  <cp:revision>36</cp:revision>
  <cp:lastPrinted>2018-06-08T17:01:00Z</cp:lastPrinted>
  <dcterms:created xsi:type="dcterms:W3CDTF">2019-01-29T17:14:00Z</dcterms:created>
  <dcterms:modified xsi:type="dcterms:W3CDTF">2025-03-28T15:07:00Z</dcterms:modified>
</cp:coreProperties>
</file>