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B24F01" w:rsidTr="0086780D">
        <w:tc>
          <w:tcPr>
            <w:tcW w:w="2552" w:type="dxa"/>
          </w:tcPr>
          <w:p w:rsidR="006848DA" w:rsidRPr="006848DA" w:rsidRDefault="002E663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2E663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120</w:t>
            </w:r>
          </w:p>
        </w:tc>
        <w:tc>
          <w:tcPr>
            <w:tcW w:w="1797" w:type="dxa"/>
          </w:tcPr>
          <w:p w:rsidR="006848DA" w:rsidRPr="006848DA" w:rsidRDefault="002E663A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2E663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Projeto de Resolução nº 16/2025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2E663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905F18">
        <w:rPr>
          <w:rFonts w:ascii="Arial" w:eastAsia="Times New Roman" w:hAnsi="Arial" w:cs="Arial"/>
          <w:bCs/>
          <w:szCs w:val="24"/>
          <w:lang w:eastAsia="pt-BR"/>
        </w:rPr>
        <w:t>167/2025</w:t>
      </w:r>
      <w:bookmarkStart w:id="0" w:name="_GoBack"/>
      <w:bookmarkEnd w:id="0"/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2E663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MARIA PAULA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2E663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Institui a Comissão Especial de Estudos denominada “Frente Parlamentar em Defesa da Regularização Fundiária” com o objetivo de </w:t>
      </w:r>
      <w:r w:rsidRPr="006848DA">
        <w:rPr>
          <w:rFonts w:ascii="Arial" w:eastAsia="Times New Roman" w:hAnsi="Arial" w:cs="Arial"/>
          <w:szCs w:val="24"/>
          <w:lang w:eastAsia="pt-BR"/>
        </w:rPr>
        <w:t>promover debates, estudos, articulações e propostas legislativas voltadas à regularização fundiária no município,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1852">
        <w:rPr>
          <w:rFonts w:ascii="Arial" w:eastAsia="Times New Roman" w:hAnsi="Arial" w:cs="Arial"/>
          <w:szCs w:val="24"/>
          <w:lang w:eastAsia="pt-BR"/>
        </w:rPr>
        <w:tab/>
      </w:r>
      <w:r w:rsidRPr="007C1852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1852">
        <w:rPr>
          <w:rFonts w:ascii="Arial" w:eastAsia="Times New Roman" w:hAnsi="Arial" w:cs="Arial"/>
          <w:szCs w:val="24"/>
          <w:lang w:eastAsia="pt-BR"/>
        </w:rPr>
        <w:tab/>
      </w:r>
      <w:r w:rsidRPr="007C1852">
        <w:rPr>
          <w:rFonts w:ascii="Arial" w:eastAsia="Times New Roman" w:hAnsi="Arial" w:cs="Arial"/>
          <w:szCs w:val="24"/>
          <w:lang w:eastAsia="pt-BR"/>
        </w:rPr>
        <w:tab/>
        <w:t>Depreende-se, especificadamente, que a propositura está plenamente de acordo com o que preleciona o art. 114 do Regimento Interno desta Casa de Leis.</w:t>
      </w: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1852">
        <w:rPr>
          <w:rFonts w:ascii="Arial" w:eastAsia="Times New Roman" w:hAnsi="Arial" w:cs="Arial"/>
          <w:szCs w:val="24"/>
          <w:lang w:eastAsia="pt-BR"/>
        </w:rPr>
        <w:tab/>
      </w:r>
      <w:r w:rsidRPr="007C1852">
        <w:rPr>
          <w:rFonts w:ascii="Arial" w:eastAsia="Times New Roman" w:hAnsi="Arial" w:cs="Arial"/>
          <w:szCs w:val="24"/>
          <w:lang w:eastAsia="pt-BR"/>
        </w:rPr>
        <w:tab/>
        <w:t xml:space="preserve">Pela legalidade. </w:t>
      </w: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1852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1852">
        <w:rPr>
          <w:rFonts w:ascii="Arial" w:eastAsia="Times New Roman" w:hAnsi="Arial" w:cs="Arial"/>
          <w:szCs w:val="24"/>
          <w:lang w:eastAsia="pt-BR"/>
        </w:rPr>
        <w:tab/>
      </w:r>
      <w:r w:rsidRPr="007C1852">
        <w:rPr>
          <w:rFonts w:ascii="Arial" w:eastAsia="Times New Roman" w:hAnsi="Arial" w:cs="Arial"/>
          <w:szCs w:val="24"/>
          <w:lang w:eastAsia="pt-BR"/>
        </w:rPr>
        <w:tab/>
        <w:t>À Comissão de Tributação, Finanças e Orçamento para manifestação.</w:t>
      </w:r>
    </w:p>
    <w:p w:rsidR="007C1852" w:rsidRPr="007C1852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1852">
        <w:rPr>
          <w:rFonts w:ascii="Arial" w:eastAsia="Times New Roman" w:hAnsi="Arial" w:cs="Arial"/>
          <w:szCs w:val="24"/>
          <w:lang w:eastAsia="pt-BR"/>
        </w:rPr>
        <w:tab/>
      </w:r>
    </w:p>
    <w:p w:rsidR="00A939CC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7C1852">
        <w:rPr>
          <w:rFonts w:ascii="Arial" w:eastAsia="Times New Roman" w:hAnsi="Arial" w:cs="Arial"/>
          <w:szCs w:val="24"/>
          <w:lang w:eastAsia="pt-BR"/>
        </w:rPr>
        <w:tab/>
      </w:r>
      <w:r w:rsidRPr="007C1852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7C1852" w:rsidRPr="00A939CC" w:rsidRDefault="007C1852" w:rsidP="007C1852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2E663A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7C1852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 de março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2E663A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2E663A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Dr. </w:t>
      </w:r>
      <w:proofErr w:type="spellStart"/>
      <w:r>
        <w:rPr>
          <w:rFonts w:ascii="Arial" w:hAnsi="Arial" w:cs="Arial"/>
          <w:b/>
          <w:bCs/>
          <w:szCs w:val="24"/>
        </w:rPr>
        <w:t>Lelo</w:t>
      </w:r>
      <w:proofErr w:type="spellEnd"/>
    </w:p>
    <w:p w:rsidR="00CF0CE2" w:rsidRDefault="002E663A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2E663A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2E663A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</w:t>
      </w:r>
      <w:proofErr w:type="spellStart"/>
      <w:r>
        <w:rPr>
          <w:rFonts w:ascii="Arial" w:hAnsi="Arial" w:cs="Arial"/>
          <w:b/>
          <w:bCs/>
          <w:szCs w:val="24"/>
        </w:rPr>
        <w:t>Geani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Trevisóli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7C1852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63A" w:rsidRDefault="002E663A">
      <w:pPr>
        <w:spacing w:line="240" w:lineRule="auto"/>
      </w:pPr>
      <w:r>
        <w:separator/>
      </w:r>
    </w:p>
  </w:endnote>
  <w:endnote w:type="continuationSeparator" w:id="0">
    <w:p w:rsidR="002E663A" w:rsidRDefault="002E6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2E663A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2E663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2E663A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2E663A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5F1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05F18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63A" w:rsidRDefault="002E663A">
      <w:pPr>
        <w:spacing w:line="240" w:lineRule="auto"/>
      </w:pPr>
      <w:r>
        <w:separator/>
      </w:r>
    </w:p>
  </w:footnote>
  <w:footnote w:type="continuationSeparator" w:id="0">
    <w:p w:rsidR="002E663A" w:rsidRDefault="002E6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2E663A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97999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2E663A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177E8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4AAC340" w:tentative="1">
      <w:start w:val="1"/>
      <w:numFmt w:val="lowerLetter"/>
      <w:lvlText w:val="%2."/>
      <w:lvlJc w:val="left"/>
      <w:pPr>
        <w:ind w:left="1440" w:hanging="360"/>
      </w:pPr>
    </w:lvl>
    <w:lvl w:ilvl="2" w:tplc="F028B484" w:tentative="1">
      <w:start w:val="1"/>
      <w:numFmt w:val="lowerRoman"/>
      <w:lvlText w:val="%3."/>
      <w:lvlJc w:val="right"/>
      <w:pPr>
        <w:ind w:left="2160" w:hanging="180"/>
      </w:pPr>
    </w:lvl>
    <w:lvl w:ilvl="3" w:tplc="AD7CDCDE" w:tentative="1">
      <w:start w:val="1"/>
      <w:numFmt w:val="decimal"/>
      <w:lvlText w:val="%4."/>
      <w:lvlJc w:val="left"/>
      <w:pPr>
        <w:ind w:left="2880" w:hanging="360"/>
      </w:pPr>
    </w:lvl>
    <w:lvl w:ilvl="4" w:tplc="F4D4040E" w:tentative="1">
      <w:start w:val="1"/>
      <w:numFmt w:val="lowerLetter"/>
      <w:lvlText w:val="%5."/>
      <w:lvlJc w:val="left"/>
      <w:pPr>
        <w:ind w:left="3600" w:hanging="360"/>
      </w:pPr>
    </w:lvl>
    <w:lvl w:ilvl="5" w:tplc="CE0C5F6C" w:tentative="1">
      <w:start w:val="1"/>
      <w:numFmt w:val="lowerRoman"/>
      <w:lvlText w:val="%6."/>
      <w:lvlJc w:val="right"/>
      <w:pPr>
        <w:ind w:left="4320" w:hanging="180"/>
      </w:pPr>
    </w:lvl>
    <w:lvl w:ilvl="6" w:tplc="43E28DAA" w:tentative="1">
      <w:start w:val="1"/>
      <w:numFmt w:val="decimal"/>
      <w:lvlText w:val="%7."/>
      <w:lvlJc w:val="left"/>
      <w:pPr>
        <w:ind w:left="5040" w:hanging="360"/>
      </w:pPr>
    </w:lvl>
    <w:lvl w:ilvl="7" w:tplc="225C692C" w:tentative="1">
      <w:start w:val="1"/>
      <w:numFmt w:val="lowerLetter"/>
      <w:lvlText w:val="%8."/>
      <w:lvlJc w:val="left"/>
      <w:pPr>
        <w:ind w:left="5760" w:hanging="360"/>
      </w:pPr>
    </w:lvl>
    <w:lvl w:ilvl="8" w:tplc="313E9D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7E22828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5BE8F3E" w:tentative="1">
      <w:start w:val="1"/>
      <w:numFmt w:val="lowerLetter"/>
      <w:lvlText w:val="%2."/>
      <w:lvlJc w:val="left"/>
      <w:pPr>
        <w:ind w:left="1130" w:hanging="360"/>
      </w:pPr>
    </w:lvl>
    <w:lvl w:ilvl="2" w:tplc="D616BA9A" w:tentative="1">
      <w:start w:val="1"/>
      <w:numFmt w:val="lowerRoman"/>
      <w:lvlText w:val="%3."/>
      <w:lvlJc w:val="right"/>
      <w:pPr>
        <w:ind w:left="1850" w:hanging="180"/>
      </w:pPr>
    </w:lvl>
    <w:lvl w:ilvl="3" w:tplc="1D7A157E" w:tentative="1">
      <w:start w:val="1"/>
      <w:numFmt w:val="decimal"/>
      <w:lvlText w:val="%4."/>
      <w:lvlJc w:val="left"/>
      <w:pPr>
        <w:ind w:left="2570" w:hanging="360"/>
      </w:pPr>
    </w:lvl>
    <w:lvl w:ilvl="4" w:tplc="E5CA094C" w:tentative="1">
      <w:start w:val="1"/>
      <w:numFmt w:val="lowerLetter"/>
      <w:lvlText w:val="%5."/>
      <w:lvlJc w:val="left"/>
      <w:pPr>
        <w:ind w:left="3290" w:hanging="360"/>
      </w:pPr>
    </w:lvl>
    <w:lvl w:ilvl="5" w:tplc="2D9067AA" w:tentative="1">
      <w:start w:val="1"/>
      <w:numFmt w:val="lowerRoman"/>
      <w:lvlText w:val="%6."/>
      <w:lvlJc w:val="right"/>
      <w:pPr>
        <w:ind w:left="4010" w:hanging="180"/>
      </w:pPr>
    </w:lvl>
    <w:lvl w:ilvl="6" w:tplc="49689596" w:tentative="1">
      <w:start w:val="1"/>
      <w:numFmt w:val="decimal"/>
      <w:lvlText w:val="%7."/>
      <w:lvlJc w:val="left"/>
      <w:pPr>
        <w:ind w:left="4730" w:hanging="360"/>
      </w:pPr>
    </w:lvl>
    <w:lvl w:ilvl="7" w:tplc="382E8816" w:tentative="1">
      <w:start w:val="1"/>
      <w:numFmt w:val="lowerLetter"/>
      <w:lvlText w:val="%8."/>
      <w:lvlJc w:val="left"/>
      <w:pPr>
        <w:ind w:left="5450" w:hanging="360"/>
      </w:pPr>
    </w:lvl>
    <w:lvl w:ilvl="8" w:tplc="1756B462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70D89930">
      <w:start w:val="1"/>
      <w:numFmt w:val="decimal"/>
      <w:lvlText w:val="%1."/>
      <w:lvlJc w:val="left"/>
      <w:pPr>
        <w:ind w:left="770" w:hanging="360"/>
      </w:pPr>
    </w:lvl>
    <w:lvl w:ilvl="1" w:tplc="45DC921E" w:tentative="1">
      <w:start w:val="1"/>
      <w:numFmt w:val="lowerLetter"/>
      <w:lvlText w:val="%2."/>
      <w:lvlJc w:val="left"/>
      <w:pPr>
        <w:ind w:left="1490" w:hanging="360"/>
      </w:pPr>
    </w:lvl>
    <w:lvl w:ilvl="2" w:tplc="FAA41EDC" w:tentative="1">
      <w:start w:val="1"/>
      <w:numFmt w:val="lowerRoman"/>
      <w:lvlText w:val="%3."/>
      <w:lvlJc w:val="right"/>
      <w:pPr>
        <w:ind w:left="2210" w:hanging="180"/>
      </w:pPr>
    </w:lvl>
    <w:lvl w:ilvl="3" w:tplc="46EEA730" w:tentative="1">
      <w:start w:val="1"/>
      <w:numFmt w:val="decimal"/>
      <w:lvlText w:val="%4."/>
      <w:lvlJc w:val="left"/>
      <w:pPr>
        <w:ind w:left="2930" w:hanging="360"/>
      </w:pPr>
    </w:lvl>
    <w:lvl w:ilvl="4" w:tplc="61D6BF62" w:tentative="1">
      <w:start w:val="1"/>
      <w:numFmt w:val="lowerLetter"/>
      <w:lvlText w:val="%5."/>
      <w:lvlJc w:val="left"/>
      <w:pPr>
        <w:ind w:left="3650" w:hanging="360"/>
      </w:pPr>
    </w:lvl>
    <w:lvl w:ilvl="5" w:tplc="A442FE44" w:tentative="1">
      <w:start w:val="1"/>
      <w:numFmt w:val="lowerRoman"/>
      <w:lvlText w:val="%6."/>
      <w:lvlJc w:val="right"/>
      <w:pPr>
        <w:ind w:left="4370" w:hanging="180"/>
      </w:pPr>
    </w:lvl>
    <w:lvl w:ilvl="6" w:tplc="15E43C12" w:tentative="1">
      <w:start w:val="1"/>
      <w:numFmt w:val="decimal"/>
      <w:lvlText w:val="%7."/>
      <w:lvlJc w:val="left"/>
      <w:pPr>
        <w:ind w:left="5090" w:hanging="360"/>
      </w:pPr>
    </w:lvl>
    <w:lvl w:ilvl="7" w:tplc="101A0DEE" w:tentative="1">
      <w:start w:val="1"/>
      <w:numFmt w:val="lowerLetter"/>
      <w:lvlText w:val="%8."/>
      <w:lvlJc w:val="left"/>
      <w:pPr>
        <w:ind w:left="5810" w:hanging="360"/>
      </w:pPr>
    </w:lvl>
    <w:lvl w:ilvl="8" w:tplc="E54AE20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E663A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C1852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5F18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24F01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B472-029A-46D5-85E1-93714545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32</cp:revision>
  <cp:lastPrinted>2018-06-08T17:01:00Z</cp:lastPrinted>
  <dcterms:created xsi:type="dcterms:W3CDTF">2019-01-29T17:14:00Z</dcterms:created>
  <dcterms:modified xsi:type="dcterms:W3CDTF">2025-03-19T13:49:00Z</dcterms:modified>
</cp:coreProperties>
</file>