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972171" w:rsidTr="00972171">
        <w:tc>
          <w:tcPr>
            <w:tcW w:w="2430" w:type="dxa"/>
            <w:hideMark/>
          </w:tcPr>
          <w:p w:rsidR="00972171" w:rsidRDefault="00972171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hideMark/>
          </w:tcPr>
          <w:p w:rsidR="00972171" w:rsidRDefault="00972171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103" w:type="dxa"/>
            <w:hideMark/>
          </w:tcPr>
          <w:p w:rsidR="00972171" w:rsidRDefault="00972171" w:rsidP="00327B0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327B0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972171" w:rsidRDefault="00972171" w:rsidP="0097217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72171" w:rsidRDefault="00972171" w:rsidP="00972171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972171" w:rsidRDefault="00972171" w:rsidP="0097217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972171" w:rsidRDefault="00972171" w:rsidP="00972171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972171" w:rsidRDefault="00972171" w:rsidP="0097217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972171" w:rsidRDefault="00972171" w:rsidP="0097217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972171" w:rsidRDefault="00972171" w:rsidP="0097217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93D7F" w:rsidRPr="00693D7F" w:rsidRDefault="00972171" w:rsidP="00972171">
      <w:pPr>
        <w:autoSpaceDE w:val="0"/>
        <w:autoSpaceDN w:val="0"/>
        <w:spacing w:line="240" w:lineRule="auto"/>
        <w:ind w:left="34"/>
        <w:jc w:val="both"/>
        <w:rPr>
          <w:rFonts w:ascii="Palatino Linotype" w:eastAsia="Times New Roman" w:hAnsi="Palatino Linotype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311C87" w:rsidRPr="00693D7F" w:rsidRDefault="00311C87" w:rsidP="00311C87">
      <w:pPr>
        <w:tabs>
          <w:tab w:val="left" w:pos="709"/>
          <w:tab w:val="left" w:pos="1418"/>
        </w:tabs>
        <w:spacing w:before="120" w:after="100" w:afterAutospacing="1" w:line="276" w:lineRule="auto"/>
        <w:ind w:left="3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693D7F">
        <w:rPr>
          <w:rFonts w:ascii="Palatino Linotype" w:eastAsia="Times New Roman" w:hAnsi="Palatino Linotype" w:cs="Arial"/>
          <w:sz w:val="22"/>
          <w:lang w:eastAsia="pt-BR"/>
        </w:rPr>
        <w:tab/>
      </w:r>
      <w:r w:rsidRPr="00693D7F">
        <w:rPr>
          <w:rFonts w:ascii="Palatino Linotype" w:eastAsia="Times New Roman" w:hAnsi="Palatino Linotype" w:cs="Arial"/>
          <w:sz w:val="22"/>
          <w:lang w:eastAsia="pt-BR"/>
        </w:rPr>
        <w:tab/>
        <w:t xml:space="preserve">Em cumprimento às disposições legais vigentes, o Excelentíssimo Senhor Chefe do Poder Executivo local encaminhou para exame desta Câmara Municipal de Araraquara o projeto de lei que vessa sobre as diretrizes orçamentárias para o exercício de 2023, o qual ganhou a forma do Projeto de Lei nº 139/2022 em assunto.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À vista disso, de proêmio, importante esclarecer que a Lei de Diretrizes Orçamentárias (LDO) orienta a elaboração e execução do orçamento anual e trata de vários outros temas, como alterações tributárias, gastos com pessoal, política fiscal e transferências de recursos. Ademais, prioriza as metas do Plano Plurianual (PPA) e orienta a elaboração da Lei Orçamentária Anual (LOA).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>Nessa esteira, a LDO é ponto intermediário entre o PPA – que estipula metas e define programas em uma perspectiva global – e a LOA, a qual estima, de forma detalhada, a aplicação dos recursos da cidade nas mais diferentes áreas.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Dito isso, quanto à forma da propositura, esta situa-se no âmbito da competência legislativa inaugural privativa do Prefeito, </w:t>
      </w:r>
      <w:r w:rsidRPr="00311C87">
        <w:rPr>
          <w:rFonts w:ascii="Palatino Linotype" w:eastAsia="Times New Roman" w:hAnsi="Palatino Linotype" w:cs="Arial"/>
          <w:i/>
          <w:sz w:val="22"/>
          <w:lang w:eastAsia="pt-BR"/>
        </w:rPr>
        <w:t xml:space="preserve">ex vi 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do artigo 229 da Bíblia Política Municipal, disposição que se coaduna com o preceituado na própria Carta Magna, nos termos do art. 165, II</w:t>
      </w:r>
      <w:r w:rsidRPr="00693D7F">
        <w:rPr>
          <w:rFonts w:ascii="Palatino Linotype" w:eastAsia="Times New Roman" w:hAnsi="Palatino Linotype" w:cs="Arial"/>
          <w:sz w:val="22"/>
          <w:lang w:eastAsia="pt-BR"/>
        </w:rPr>
        <w:t>,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desta.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“Conteudisticamente”, a elaboração da propositura atendeu às normas legais e regimentais vigentes, especificamente no que tange à Lei Federal nº 4.320, de 17 de março de 1964 (“Estatui Normas Gerais de Direito Financeiro para elaboração e contrôle dos orçamentos e balanços da União, dos Estados, dos Municípios e do Distrito Federal”) e à Lei Complementar Federal nº 101, de 4 de maio de 2000 (“Estabelece normas de finanças públicas voltadas para a responsabilidade na gestão fiscal e dá outras providências”).</w:t>
      </w:r>
    </w:p>
    <w:p w:rsidR="00311C87" w:rsidRPr="00693D7F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lastRenderedPageBreak/>
        <w:t>Nesse diapasão, destaca-se que a propositura está acompanhada do Anexo de Metas Fiscais para as receitas, despesas, resultado primário e montante da dívida pública para os 3 (três) exercícios seguintes, atendendo assim ao princípio do equilíbrio orçamentário, fundamental no âmbito das finanças públicas.</w:t>
      </w:r>
    </w:p>
    <w:p w:rsidR="00BA1300" w:rsidRPr="00311C87" w:rsidRDefault="00BA1300" w:rsidP="00BA1300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693D7F">
        <w:rPr>
          <w:rFonts w:ascii="Palatino Linotype" w:eastAsia="Times New Roman" w:hAnsi="Palatino Linotype" w:cs="Arial"/>
          <w:sz w:val="22"/>
          <w:lang w:eastAsia="pt-BR"/>
        </w:rPr>
        <w:t>Metas fiscais que é integrada pelos seguintes demonstrativos: Metas anuais; Avaliação do cumprimento das metas fiscais do exercício anterior; Metas fiscais atuais comparadas com as fixadas nos três exercícios anteriores; Evolução do patrimônio líquido; Origem e aplicação dos recursos obtidos com a alienação de ativos; Avaliação da Situação Financeira do RPPS; Estimativa e compensação da renúncia de receita; e Margem de expansão das despesas obrigatórias de caráter continuado.</w:t>
      </w:r>
    </w:p>
    <w:p w:rsidR="00311C87" w:rsidRPr="00693D7F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As diretrizes estabelecidas nas normas gerais acima mencionadas estão sendo respeitadas.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i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De mais a mais, importante </w:t>
      </w:r>
      <w:r w:rsidR="00631D37" w:rsidRPr="00693D7F">
        <w:rPr>
          <w:rFonts w:ascii="Palatino Linotype" w:eastAsia="Times New Roman" w:hAnsi="Palatino Linotype" w:cs="Arial"/>
          <w:sz w:val="22"/>
          <w:lang w:eastAsia="pt-BR"/>
        </w:rPr>
        <w:t xml:space="preserve">ressaltar que a propositura dispõe que: </w:t>
      </w:r>
    </w:p>
    <w:p w:rsidR="00631D37" w:rsidRPr="00631D37" w:rsidRDefault="00631D37" w:rsidP="00631D3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40" w:lineRule="auto"/>
        <w:ind w:left="2268"/>
        <w:jc w:val="both"/>
        <w:rPr>
          <w:rFonts w:ascii="Palatino Linotype" w:eastAsia="Times New Roman" w:hAnsi="Palatino Linotype" w:cs="Arial"/>
          <w:sz w:val="20"/>
          <w:szCs w:val="20"/>
          <w:lang w:eastAsia="pt-BR"/>
        </w:rPr>
      </w:pPr>
      <w:r w:rsidRPr="00631D37">
        <w:rPr>
          <w:rFonts w:ascii="Palatino Linotype" w:eastAsia="Times New Roman" w:hAnsi="Palatino Linotype" w:cs="Arial"/>
          <w:sz w:val="20"/>
          <w:szCs w:val="20"/>
          <w:lang w:eastAsia="pt-BR"/>
        </w:rPr>
        <w:t>“Art. 25. Nos termos do § 8º do art. 165 e do art. 174, todos da Constituição da República Federativa do Brasil, bem como dos arts. 7º e 43, todos da Lei Federal nº 4.320, de 1964, a Lei Orçamentária de 2023 conterá autorização para o Poder Executivo proceder à abertura de créditos suplementares e estabelecerá as condições e os limites a serem observados.</w:t>
      </w:r>
    </w:p>
    <w:p w:rsidR="00631D37" w:rsidRPr="00631D37" w:rsidRDefault="00631D37" w:rsidP="00631D3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40" w:lineRule="auto"/>
        <w:ind w:left="2268"/>
        <w:jc w:val="both"/>
        <w:rPr>
          <w:rFonts w:ascii="Palatino Linotype" w:eastAsia="Times New Roman" w:hAnsi="Palatino Linotype" w:cs="Arial"/>
          <w:b/>
          <w:sz w:val="20"/>
          <w:szCs w:val="20"/>
          <w:lang w:eastAsia="pt-BR"/>
        </w:rPr>
      </w:pPr>
      <w:r w:rsidRPr="00631D37">
        <w:rPr>
          <w:rFonts w:ascii="Palatino Linotype" w:eastAsia="Times New Roman" w:hAnsi="Palatino Linotype" w:cs="Arial"/>
          <w:sz w:val="20"/>
          <w:szCs w:val="20"/>
          <w:lang w:eastAsia="pt-BR"/>
        </w:rPr>
        <w:t xml:space="preserve">Art. 26. O Poder Executivo poderá, mediante decreto, transpor, remanejar, transferir ou utilizar, total ou parcialmente, as dotações orçamentárias aprovadas na Lei Orçamentária de 2023 e em créditos adicionais, em decorrência da extinção, transformação, transferência, incorporação ou desmembramento de órgãos e entidades, bem como de alterações de suas competências ou atribuições, mantida a estrutura funcional e programática, expressa por categoria de programação, inclusive os títulos, os objetivos, os indicadores e as metas, assim como o respectivo detalhamento por grupos de natureza de despesa e por modalidades de aplicação, </w:t>
      </w:r>
      <w:r w:rsidRPr="00631D37">
        <w:rPr>
          <w:rFonts w:ascii="Palatino Linotype" w:eastAsia="Times New Roman" w:hAnsi="Palatino Linotype" w:cs="Arial"/>
          <w:b/>
          <w:sz w:val="20"/>
          <w:szCs w:val="20"/>
          <w:u w:val="single"/>
          <w:lang w:eastAsia="pt-BR"/>
        </w:rPr>
        <w:t>até o limite de 20% (vinte por cento) do orçamento total das despesas</w:t>
      </w:r>
      <w:r w:rsidRPr="00631D37">
        <w:rPr>
          <w:rFonts w:ascii="Palatino Linotype" w:eastAsia="Times New Roman" w:hAnsi="Palatino Linotype" w:cs="Arial"/>
          <w:b/>
          <w:sz w:val="20"/>
          <w:szCs w:val="20"/>
          <w:lang w:eastAsia="pt-BR"/>
        </w:rPr>
        <w:t xml:space="preserve">.  </w:t>
      </w:r>
      <w:r w:rsidRPr="00631D37">
        <w:rPr>
          <w:rFonts w:ascii="Palatino Linotype" w:eastAsia="Times New Roman" w:hAnsi="Palatino Linotype" w:cs="Arial"/>
          <w:b/>
          <w:i/>
          <w:sz w:val="20"/>
          <w:szCs w:val="20"/>
          <w:lang w:eastAsia="pt-BR"/>
        </w:rPr>
        <w:t>Grifei</w:t>
      </w:r>
    </w:p>
    <w:p w:rsidR="00631D37" w:rsidRPr="00880A58" w:rsidRDefault="00631D37" w:rsidP="00631D3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40" w:lineRule="auto"/>
        <w:ind w:left="2268"/>
        <w:jc w:val="both"/>
        <w:rPr>
          <w:rFonts w:ascii="Palatino Linotype" w:eastAsia="Times New Roman" w:hAnsi="Palatino Linotype" w:cs="Arial"/>
          <w:sz w:val="20"/>
          <w:szCs w:val="20"/>
          <w:lang w:eastAsia="pt-BR"/>
        </w:rPr>
      </w:pPr>
      <w:r w:rsidRPr="00631D37">
        <w:rPr>
          <w:rFonts w:ascii="Palatino Linotype" w:eastAsia="Times New Roman" w:hAnsi="Palatino Linotype" w:cs="Arial"/>
          <w:sz w:val="20"/>
          <w:szCs w:val="20"/>
          <w:lang w:eastAsia="pt-BR"/>
        </w:rPr>
        <w:t xml:space="preserve">Parágrafo único. A transposição, a transferência ou o remanejamento não poderão resultar em alteração dos valores das programações aprovadas na Lei Orçamentária de 2023 ou em créditos adicionais, podendo haver, excepcionalmente, adequação da classificação funcional e do programa de gestão, manutenção e serviço ao Município ao novo órgão.Sobre este dispositivo normativo, não </w:t>
      </w:r>
      <w:r w:rsidRPr="00631D37">
        <w:rPr>
          <w:rFonts w:ascii="Palatino Linotype" w:eastAsia="Times New Roman" w:hAnsi="Palatino Linotype" w:cs="Arial"/>
          <w:sz w:val="20"/>
          <w:szCs w:val="20"/>
          <w:lang w:eastAsia="pt-BR"/>
        </w:rPr>
        <w:lastRenderedPageBreak/>
        <w:t>obstante consideravelmente elevado, o índice para abertura de créditos especiais e suplementares fixados no inciso III daquele encontra-se dentro dos parâmetros de discricionariedade e razoabilidade, no sentir destas Comissões.”</w:t>
      </w:r>
    </w:p>
    <w:p w:rsidR="00631D37" w:rsidRPr="00693D7F" w:rsidRDefault="00631D37" w:rsidP="00631D37">
      <w:pPr>
        <w:tabs>
          <w:tab w:val="left" w:pos="709"/>
          <w:tab w:val="left" w:pos="1418"/>
        </w:tabs>
        <w:spacing w:before="120" w:after="100" w:afterAutospacing="1"/>
        <w:ind w:left="34" w:firstLine="1384"/>
        <w:jc w:val="both"/>
        <w:rPr>
          <w:rFonts w:ascii="Palatino Linotype" w:hAnsi="Palatino Linotype" w:cs="Arial"/>
          <w:sz w:val="22"/>
        </w:rPr>
      </w:pPr>
      <w:r w:rsidRPr="00693D7F">
        <w:rPr>
          <w:rFonts w:ascii="Palatino Linotype" w:hAnsi="Palatino Linotype" w:cs="Arial"/>
          <w:sz w:val="22"/>
        </w:rPr>
        <w:t xml:space="preserve">Sobre estes dispositivos normativos, não obstante consideravelmente elevado o índice para abertura de créditos especiais e suplementares fixados no “caput” do art. 26, encontram-se dentro dos parâmetros de discricionariedade e razoabilidade, no sentir destas Comissões.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Ato contínuo, recebida do Prefeito a proposta de Diretrizes Orçamentárias, em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29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de abril de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, foram distribuídas cópias desta aos</w:t>
      </w:r>
      <w:r w:rsidR="00F62F94" w:rsidRPr="00693D7F">
        <w:rPr>
          <w:rFonts w:ascii="Palatino Linotype" w:eastAsia="Times New Roman" w:hAnsi="Palatino Linotype" w:cs="Arial"/>
          <w:sz w:val="22"/>
          <w:lang w:eastAsia="pt-BR"/>
        </w:rPr>
        <w:t xml:space="preserve"> Senhores Vereadores, </w:t>
      </w:r>
      <w:r w:rsidR="00855C8A">
        <w:rPr>
          <w:rFonts w:ascii="Palatino Linotype" w:eastAsia="Times New Roman" w:hAnsi="Palatino Linotype" w:cs="Arial"/>
          <w:sz w:val="22"/>
          <w:lang w:eastAsia="pt-BR"/>
        </w:rPr>
        <w:t>consoante</w:t>
      </w:r>
      <w:r w:rsidR="00F62F94" w:rsidRPr="00693D7F">
        <w:rPr>
          <w:rFonts w:ascii="Palatino Linotype" w:eastAsia="Times New Roman" w:hAnsi="Palatino Linotype" w:cs="Arial"/>
          <w:sz w:val="22"/>
          <w:lang w:eastAsia="pt-BR"/>
        </w:rPr>
        <w:t xml:space="preserve"> </w:t>
      </w:r>
      <w:r w:rsidR="00855C8A">
        <w:rPr>
          <w:rFonts w:ascii="Palatino Linotype" w:eastAsia="Times New Roman" w:hAnsi="Palatino Linotype" w:cs="Arial"/>
          <w:sz w:val="22"/>
          <w:lang w:eastAsia="pt-BR"/>
        </w:rPr>
        <w:t xml:space="preserve">a 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Circular nº 3/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, de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de maio de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, permanecendo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 xml:space="preserve">a proposição, 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nestas Comissões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,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durante 30 (trinta) dias, para apresentação de emendas (artigo 278, parágrafo único, em conluio com o artigo 284, parágrafo único, do Regimento Interno da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 xml:space="preserve"> Câmara Municipal de Araraquara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), até o dia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31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de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 xml:space="preserve">maio 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de </w:t>
      </w:r>
      <w:r w:rsidR="00000B48" w:rsidRPr="00693D7F">
        <w:rPr>
          <w:rFonts w:ascii="Palatino Linotype" w:eastAsia="Times New Roman" w:hAnsi="Palatino Linotype" w:cs="Arial"/>
          <w:sz w:val="22"/>
          <w:lang w:eastAsia="pt-BR"/>
        </w:rPr>
        <w:t>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>Além di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>sso, por meio do Comunicado nº 1/2022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, no período de 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>3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a 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>9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de maio de 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>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, foram convocados representantes da sociedade araraquarense organizada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 xml:space="preserve">, governamentais ou não, sendo 1 (um) representante titular e 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1 (um) suplente de cada Instituição Civil legalmente constituída no Município, desde que esteja devidamente cadastrado perante o Poder Legislativo, o que deveria ter sido feito por meio de ofício protocolado na Câmara Municipal, para participar do FÓRUM DE DISCUSSÕES ORÇAMENTÁRIAS DO MUNICÍPIO.</w:t>
      </w:r>
    </w:p>
    <w:p w:rsidR="00FE4693" w:rsidRPr="00693D7F" w:rsidRDefault="00311C87" w:rsidP="00FE4693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Por meio do Requerimento nº 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>440/2022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, foi comunicado aos Edis a data para a realização</w:t>
      </w:r>
      <w:r w:rsidR="00FE4693" w:rsidRPr="00693D7F">
        <w:rPr>
          <w:rFonts w:ascii="Palatino Linotype" w:eastAsia="Times New Roman" w:hAnsi="Palatino Linotype" w:cs="Arial"/>
          <w:sz w:val="22"/>
          <w:lang w:eastAsia="pt-BR"/>
        </w:rPr>
        <w:t xml:space="preserve"> – em razão da necessidade da participação dos movimentos sociais, associações de classe, secretarias, autarquias, fundações e órgãos municipais nas prévias discussões sobre o Projeto de Lei nº 92/2022 – de audiências públicas, com ampla e antecipada publicidade da imprensa interna e externa, conforme o cronograma encapuzado naquele.</w:t>
      </w:r>
    </w:p>
    <w:p w:rsidR="00FE4693" w:rsidRPr="00693D7F" w:rsidRDefault="00CB3D56" w:rsidP="00CB3D56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693D7F">
        <w:rPr>
          <w:rFonts w:ascii="Palatino Linotype" w:eastAsia="Times New Roman" w:hAnsi="Palatino Linotype" w:cs="Arial"/>
          <w:sz w:val="22"/>
          <w:lang w:eastAsia="pt-BR"/>
        </w:rPr>
        <w:t xml:space="preserve">As audiências foram efetivamente realizadas, realçando as complementares disposições do Requerimento nº 467/2022.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Durante o prazo regimental, não foi apresentada emenda alguma.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lastRenderedPageBreak/>
        <w:t>A matéria está sujeita a dois turnos de discussão e votação (artigo 244, inciso III, do Regimento Interno da Câmara Municipal de Araraquara).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i/>
          <w:sz w:val="22"/>
          <w:lang w:eastAsia="pt-BR"/>
        </w:rPr>
        <w:t xml:space="preserve">Post omnes, 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o Projeto de Lei nº </w:t>
      </w:r>
      <w:r w:rsidR="00CB3D56" w:rsidRPr="00693D7F">
        <w:rPr>
          <w:rFonts w:ascii="Palatino Linotype" w:eastAsia="Times New Roman" w:hAnsi="Palatino Linotype" w:cs="Arial"/>
          <w:sz w:val="22"/>
          <w:lang w:eastAsia="pt-BR"/>
        </w:rPr>
        <w:t>92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>/</w:t>
      </w:r>
      <w:r w:rsidR="00CB3D56" w:rsidRPr="00693D7F">
        <w:rPr>
          <w:rFonts w:ascii="Palatino Linotype" w:eastAsia="Times New Roman" w:hAnsi="Palatino Linotype" w:cs="Arial"/>
          <w:sz w:val="22"/>
          <w:lang w:eastAsia="pt-BR"/>
        </w:rPr>
        <w:t>2022 deverá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ser aprovado por esta Casa de Leis até o dia 30 de junho de </w:t>
      </w:r>
      <w:r w:rsidR="00CB3D56" w:rsidRPr="00693D7F">
        <w:rPr>
          <w:rFonts w:ascii="Palatino Linotype" w:eastAsia="Times New Roman" w:hAnsi="Palatino Linotype" w:cs="Arial"/>
          <w:sz w:val="22"/>
          <w:lang w:eastAsia="pt-BR"/>
        </w:rPr>
        <w:t>2022</w:t>
      </w: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 (artigo 220, inciso II, da Lei Orgânica do Município), de modo que – para tanto – deverá constar como item único da Ordem do Dia, nos termos do artigo 280, combinado com o parágrafo único do artigo 284 do Regimento Interno da </w:t>
      </w:r>
      <w:r w:rsidR="00CB3D56" w:rsidRPr="00693D7F">
        <w:rPr>
          <w:rFonts w:ascii="Palatino Linotype" w:eastAsia="Times New Roman" w:hAnsi="Palatino Linotype" w:cs="Arial"/>
          <w:sz w:val="22"/>
          <w:lang w:eastAsia="pt-BR"/>
        </w:rPr>
        <w:t xml:space="preserve">Câmara Municipal de Araraquara. 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>A proposição submetida ao nosso exame é perfeitamente legal.</w:t>
      </w:r>
    </w:p>
    <w:p w:rsidR="00311C87" w:rsidRPr="00311C87" w:rsidRDefault="00311C87" w:rsidP="00311C87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>Pela aprovação do projeto.</w:t>
      </w:r>
    </w:p>
    <w:p w:rsidR="00CB3D56" w:rsidRPr="00693D7F" w:rsidRDefault="00311C87" w:rsidP="00CB3D56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ind w:left="34" w:firstLine="1384"/>
        <w:jc w:val="both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sz w:val="22"/>
          <w:lang w:eastAsia="pt-BR"/>
        </w:rPr>
        <w:t xml:space="preserve">Quanto ao mérito, cabe ao Plenário decidir. </w:t>
      </w:r>
    </w:p>
    <w:p w:rsidR="00311C87" w:rsidRPr="00311C87" w:rsidRDefault="00311C87" w:rsidP="00CB3D56">
      <w:pPr>
        <w:tabs>
          <w:tab w:val="left" w:pos="709"/>
          <w:tab w:val="left" w:pos="1418"/>
        </w:tabs>
        <w:autoSpaceDE w:val="0"/>
        <w:autoSpaceDN w:val="0"/>
        <w:spacing w:before="120" w:after="100" w:afterAutospacing="1" w:line="276" w:lineRule="auto"/>
        <w:jc w:val="center"/>
        <w:rPr>
          <w:rFonts w:ascii="Palatino Linotype" w:eastAsia="Times New Roman" w:hAnsi="Palatino Linotype" w:cs="Arial"/>
          <w:sz w:val="22"/>
          <w:lang w:eastAsia="pt-BR"/>
        </w:rPr>
      </w:pPr>
      <w:r w:rsidRPr="00311C87">
        <w:rPr>
          <w:rFonts w:ascii="Palatino Linotype" w:eastAsia="Times New Roman" w:hAnsi="Palatino Linotype" w:cs="Arial"/>
          <w:bCs/>
          <w:sz w:val="22"/>
          <w:lang w:eastAsia="pt-BR"/>
        </w:rPr>
        <w:t>Sala de reuniões das comissões,</w:t>
      </w:r>
      <w:bookmarkStart w:id="0" w:name="_GoBack"/>
      <w:bookmarkEnd w:id="0"/>
      <w:r w:rsidR="009B63BB" w:rsidRPr="009B63BB">
        <w:t xml:space="preserve"> </w:t>
      </w:r>
      <w:r w:rsidR="009B63BB" w:rsidRPr="009B63BB">
        <w:rPr>
          <w:rFonts w:ascii="Palatino Linotype" w:eastAsia="Times New Roman" w:hAnsi="Palatino Linotype" w:cs="Arial"/>
          <w:bCs/>
          <w:sz w:val="22"/>
          <w:lang w:eastAsia="pt-BR"/>
        </w:rPr>
        <w:t>$DATAEXTENSO$</w:t>
      </w:r>
      <w:r w:rsidR="009B63BB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311C87" w:rsidRPr="00311C87" w:rsidRDefault="00311C87" w:rsidP="00311C87">
      <w:pPr>
        <w:autoSpaceDE w:val="0"/>
        <w:autoSpaceDN w:val="0"/>
        <w:spacing w:line="240" w:lineRule="auto"/>
        <w:ind w:left="708" w:firstLine="708"/>
        <w:rPr>
          <w:rFonts w:ascii="Palatino Linotype" w:eastAsia="Times New Roman" w:hAnsi="Palatino Linotype" w:cs="Arial"/>
          <w:bCs/>
          <w:sz w:val="22"/>
          <w:lang w:eastAsia="pt-BR"/>
        </w:rPr>
      </w:pPr>
    </w:p>
    <w:p w:rsidR="00311C87" w:rsidRPr="00311C87" w:rsidRDefault="008A502E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  <w:r>
        <w:rPr>
          <w:rFonts w:ascii="Palatino Linotype" w:eastAsia="Times New Roman" w:hAnsi="Palatino Linotype" w:cs="Arial"/>
          <w:b/>
          <w:bCs/>
          <w:szCs w:val="24"/>
          <w:lang w:eastAsia="pt-BR"/>
        </w:rPr>
        <w:t>Filipa Brunelli</w:t>
      </w:r>
    </w:p>
    <w:p w:rsidR="00311C87" w:rsidRDefault="00311C87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  <w:r w:rsidRPr="00311C87">
        <w:rPr>
          <w:rFonts w:ascii="Palatino Linotype" w:eastAsia="Times New Roman" w:hAnsi="Palatino Linotype" w:cs="Arial"/>
          <w:b/>
          <w:bCs/>
          <w:szCs w:val="24"/>
          <w:lang w:eastAsia="pt-BR"/>
        </w:rPr>
        <w:t>Presidente da CTFO</w:t>
      </w:r>
    </w:p>
    <w:p w:rsidR="007730A0" w:rsidRPr="00311C87" w:rsidRDefault="007730A0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Cs/>
          <w:szCs w:val="24"/>
          <w:lang w:eastAsia="pt-BR"/>
        </w:rPr>
      </w:pPr>
    </w:p>
    <w:p w:rsidR="007730A0" w:rsidRDefault="007730A0" w:rsidP="00311C87">
      <w:pPr>
        <w:autoSpaceDE w:val="0"/>
        <w:autoSpaceDN w:val="0"/>
        <w:spacing w:line="240" w:lineRule="auto"/>
        <w:ind w:left="34"/>
        <w:jc w:val="both"/>
        <w:rPr>
          <w:rFonts w:ascii="Palatino Linotype" w:eastAsia="Times New Roman" w:hAnsi="Palatino Linotype" w:cs="Arial"/>
          <w:bCs/>
          <w:szCs w:val="24"/>
          <w:lang w:eastAsia="pt-BR"/>
        </w:rPr>
      </w:pPr>
    </w:p>
    <w:p w:rsidR="00311C87" w:rsidRPr="00311C87" w:rsidRDefault="00311C87" w:rsidP="00311C87">
      <w:pPr>
        <w:autoSpaceDE w:val="0"/>
        <w:autoSpaceDN w:val="0"/>
        <w:spacing w:line="240" w:lineRule="auto"/>
        <w:ind w:left="34"/>
        <w:jc w:val="both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  <w:r w:rsidRPr="00311C87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              </w:t>
      </w:r>
      <w:r w:rsidR="008A502E">
        <w:rPr>
          <w:rFonts w:ascii="Palatino Linotype" w:eastAsia="Times New Roman" w:hAnsi="Palatino Linotype" w:cs="Arial"/>
          <w:b/>
          <w:bCs/>
          <w:szCs w:val="24"/>
          <w:lang w:eastAsia="pt-BR"/>
        </w:rPr>
        <w:t>Coronel Prado</w:t>
      </w:r>
      <w:r w:rsidRPr="00311C87">
        <w:rPr>
          <w:rFonts w:ascii="Palatino Linotype" w:eastAsia="Times New Roman" w:hAnsi="Palatino Linotype" w:cs="Arial"/>
          <w:b/>
          <w:bCs/>
          <w:szCs w:val="24"/>
          <w:lang w:eastAsia="pt-BR"/>
        </w:rPr>
        <w:tab/>
        <w:t xml:space="preserve">                                                      </w:t>
      </w:r>
      <w:r w:rsidR="008A502E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  Guilherme Bianco</w:t>
      </w:r>
    </w:p>
    <w:p w:rsidR="00311C87" w:rsidRPr="007730A0" w:rsidRDefault="00311C87" w:rsidP="00311C87">
      <w:pPr>
        <w:autoSpaceDE w:val="0"/>
        <w:autoSpaceDN w:val="0"/>
        <w:spacing w:line="240" w:lineRule="auto"/>
        <w:ind w:right="-374"/>
        <w:rPr>
          <w:rFonts w:ascii="Palatino Linotype" w:eastAsia="Times New Roman" w:hAnsi="Palatino Linotype" w:cs="Arial"/>
          <w:bCs/>
          <w:szCs w:val="24"/>
          <w:lang w:eastAsia="pt-BR"/>
        </w:rPr>
      </w:pPr>
      <w:r w:rsidRPr="00311C87">
        <w:rPr>
          <w:rFonts w:ascii="Palatino Linotype" w:eastAsia="Times New Roman" w:hAnsi="Palatino Linotype" w:cs="Arial"/>
          <w:bCs/>
          <w:szCs w:val="24"/>
          <w:lang w:eastAsia="pt-BR"/>
        </w:rPr>
        <w:t xml:space="preserve">             Membro da CTFO                                 </w:t>
      </w:r>
      <w:r w:rsidR="007730A0">
        <w:rPr>
          <w:rFonts w:ascii="Palatino Linotype" w:eastAsia="Times New Roman" w:hAnsi="Palatino Linotype" w:cs="Arial"/>
          <w:bCs/>
          <w:szCs w:val="24"/>
          <w:lang w:eastAsia="pt-BR"/>
        </w:rPr>
        <w:t xml:space="preserve">                          </w:t>
      </w:r>
      <w:r w:rsidRPr="00311C87">
        <w:rPr>
          <w:rFonts w:ascii="Palatino Linotype" w:eastAsia="Times New Roman" w:hAnsi="Palatino Linotype" w:cs="Arial"/>
          <w:bCs/>
          <w:szCs w:val="24"/>
          <w:lang w:eastAsia="pt-BR"/>
        </w:rPr>
        <w:t xml:space="preserve">Membro da CTFO </w:t>
      </w:r>
    </w:p>
    <w:p w:rsidR="00CB3D56" w:rsidRPr="007730A0" w:rsidRDefault="00CB3D56" w:rsidP="00311C87">
      <w:pPr>
        <w:autoSpaceDE w:val="0"/>
        <w:autoSpaceDN w:val="0"/>
        <w:spacing w:line="240" w:lineRule="auto"/>
        <w:ind w:right="-374"/>
        <w:rPr>
          <w:rFonts w:ascii="Palatino Linotype" w:eastAsia="Times New Roman" w:hAnsi="Palatino Linotype" w:cs="Arial"/>
          <w:bCs/>
          <w:szCs w:val="24"/>
          <w:lang w:eastAsia="pt-BR"/>
        </w:rPr>
      </w:pPr>
    </w:p>
    <w:p w:rsidR="00CB3D56" w:rsidRPr="00311C87" w:rsidRDefault="00CB3D56" w:rsidP="00311C87">
      <w:pPr>
        <w:autoSpaceDE w:val="0"/>
        <w:autoSpaceDN w:val="0"/>
        <w:spacing w:line="240" w:lineRule="auto"/>
        <w:ind w:right="-374"/>
        <w:rPr>
          <w:rFonts w:ascii="Palatino Linotype" w:eastAsia="Times New Roman" w:hAnsi="Palatino Linotype" w:cs="Arial"/>
          <w:bCs/>
          <w:szCs w:val="24"/>
          <w:lang w:eastAsia="pt-BR"/>
        </w:rPr>
      </w:pPr>
    </w:p>
    <w:p w:rsidR="00311C87" w:rsidRPr="00311C87" w:rsidRDefault="008A502E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  <w:r>
        <w:rPr>
          <w:rFonts w:ascii="Palatino Linotype" w:eastAsia="Times New Roman" w:hAnsi="Palatino Linotype" w:cs="Arial"/>
          <w:b/>
          <w:bCs/>
          <w:szCs w:val="24"/>
          <w:lang w:eastAsia="pt-BR"/>
        </w:rPr>
        <w:t>Dr. Lelo</w:t>
      </w:r>
    </w:p>
    <w:p w:rsidR="00311C87" w:rsidRDefault="00311C87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  <w:r w:rsidRPr="00311C87">
        <w:rPr>
          <w:rFonts w:ascii="Palatino Linotype" w:eastAsia="Times New Roman" w:hAnsi="Palatino Linotype" w:cs="Arial"/>
          <w:b/>
          <w:bCs/>
          <w:szCs w:val="24"/>
          <w:lang w:eastAsia="pt-BR"/>
        </w:rPr>
        <w:t>Presidente da CJLR</w:t>
      </w:r>
    </w:p>
    <w:p w:rsidR="007730A0" w:rsidRDefault="007730A0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</w:p>
    <w:p w:rsidR="007730A0" w:rsidRPr="00311C87" w:rsidRDefault="007730A0" w:rsidP="00311C87">
      <w:pPr>
        <w:autoSpaceDE w:val="0"/>
        <w:autoSpaceDN w:val="0"/>
        <w:spacing w:line="240" w:lineRule="auto"/>
        <w:ind w:left="34"/>
        <w:jc w:val="center"/>
        <w:rPr>
          <w:rFonts w:ascii="Palatino Linotype" w:eastAsia="Times New Roman" w:hAnsi="Palatino Linotype" w:cs="Arial"/>
          <w:bCs/>
          <w:szCs w:val="24"/>
          <w:lang w:eastAsia="pt-BR"/>
        </w:rPr>
      </w:pPr>
    </w:p>
    <w:p w:rsidR="00311C87" w:rsidRPr="00311C87" w:rsidRDefault="00311C87" w:rsidP="00311C87">
      <w:pPr>
        <w:autoSpaceDE w:val="0"/>
        <w:autoSpaceDN w:val="0"/>
        <w:spacing w:line="240" w:lineRule="auto"/>
        <w:rPr>
          <w:rFonts w:ascii="Palatino Linotype" w:eastAsia="Times New Roman" w:hAnsi="Palatino Linotype" w:cs="Arial"/>
          <w:b/>
          <w:bCs/>
          <w:szCs w:val="24"/>
          <w:lang w:eastAsia="pt-BR"/>
        </w:rPr>
      </w:pPr>
      <w:r w:rsidRPr="00311C87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            </w:t>
      </w:r>
      <w:r w:rsidR="00972171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 </w:t>
      </w:r>
      <w:r w:rsidR="008A502E">
        <w:rPr>
          <w:rFonts w:ascii="Palatino Linotype" w:eastAsia="Times New Roman" w:hAnsi="Palatino Linotype" w:cs="Arial"/>
          <w:b/>
          <w:bCs/>
          <w:szCs w:val="24"/>
          <w:lang w:eastAsia="pt-BR"/>
        </w:rPr>
        <w:t>Geani Trevisóli</w:t>
      </w:r>
      <w:r w:rsidRPr="00311C87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                                                            </w:t>
      </w:r>
      <w:r w:rsidR="00972171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     </w:t>
      </w:r>
      <w:r w:rsidR="007730A0">
        <w:rPr>
          <w:rFonts w:ascii="Palatino Linotype" w:eastAsia="Times New Roman" w:hAnsi="Palatino Linotype" w:cs="Arial"/>
          <w:b/>
          <w:bCs/>
          <w:szCs w:val="24"/>
          <w:lang w:eastAsia="pt-BR"/>
        </w:rPr>
        <w:t xml:space="preserve"> </w:t>
      </w:r>
      <w:r w:rsidR="008A502E">
        <w:rPr>
          <w:rFonts w:ascii="Palatino Linotype" w:eastAsia="Times New Roman" w:hAnsi="Palatino Linotype" w:cs="Arial"/>
          <w:b/>
          <w:bCs/>
          <w:szCs w:val="24"/>
          <w:lang w:eastAsia="pt-BR"/>
        </w:rPr>
        <w:t>Maria Paula</w:t>
      </w:r>
    </w:p>
    <w:p w:rsidR="00311C87" w:rsidRPr="007730A0" w:rsidRDefault="007730A0" w:rsidP="00311C87">
      <w:pPr>
        <w:autoSpaceDE w:val="0"/>
        <w:autoSpaceDN w:val="0"/>
        <w:spacing w:line="240" w:lineRule="auto"/>
        <w:ind w:right="-374"/>
        <w:rPr>
          <w:rFonts w:ascii="Palatino Linotype" w:eastAsia="Calibri" w:hAnsi="Palatino Linotype" w:cs="Times New Roman"/>
          <w:b/>
          <w:szCs w:val="24"/>
        </w:rPr>
      </w:pPr>
      <w:r>
        <w:rPr>
          <w:rFonts w:ascii="Palatino Linotype" w:eastAsia="Times New Roman" w:hAnsi="Palatino Linotype" w:cs="Arial"/>
          <w:bCs/>
          <w:szCs w:val="24"/>
          <w:lang w:eastAsia="pt-BR"/>
        </w:rPr>
        <w:t xml:space="preserve">              </w:t>
      </w:r>
      <w:r w:rsidR="00311C87" w:rsidRPr="00311C87">
        <w:rPr>
          <w:rFonts w:ascii="Palatino Linotype" w:eastAsia="Times New Roman" w:hAnsi="Palatino Linotype" w:cs="Arial"/>
          <w:bCs/>
          <w:szCs w:val="24"/>
          <w:lang w:eastAsia="pt-BR"/>
        </w:rPr>
        <w:t>Membro da CJLR                                                               Membro da CJLR</w:t>
      </w:r>
    </w:p>
    <w:p w:rsidR="00A939CC" w:rsidRPr="00A939CC" w:rsidRDefault="00A939CC" w:rsidP="00311C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662" w:rsidRDefault="00764662">
      <w:pPr>
        <w:spacing w:line="240" w:lineRule="auto"/>
      </w:pPr>
      <w:r>
        <w:separator/>
      </w:r>
    </w:p>
  </w:endnote>
  <w:endnote w:type="continuationSeparator" w:id="0">
    <w:p w:rsidR="00764662" w:rsidRDefault="00764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7545B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7545B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7545B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7545B0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63BB">
              <w:rPr>
                <w:rFonts w:asciiTheme="majorHAnsi" w:hAnsiTheme="majorHAnsi"/>
                <w:b/>
                <w:bCs/>
                <w:noProof/>
              </w:rPr>
              <w:t>4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63BB">
              <w:rPr>
                <w:rFonts w:asciiTheme="majorHAnsi" w:hAnsiTheme="majorHAnsi"/>
                <w:b/>
                <w:bCs/>
                <w:noProof/>
              </w:rPr>
              <w:t>4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662" w:rsidRDefault="00764662">
      <w:pPr>
        <w:spacing w:line="240" w:lineRule="auto"/>
      </w:pPr>
      <w:r>
        <w:separator/>
      </w:r>
    </w:p>
  </w:footnote>
  <w:footnote w:type="continuationSeparator" w:id="0">
    <w:p w:rsidR="00764662" w:rsidRDefault="007646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693D7F" w:rsidRDefault="007545B0" w:rsidP="00751C03">
    <w:pPr>
      <w:spacing w:after="120" w:line="240" w:lineRule="auto"/>
      <w:jc w:val="center"/>
      <w:rPr>
        <w:rFonts w:ascii="Palatino Linotype" w:hAnsi="Palatino Linotype"/>
        <w:smallCaps/>
        <w:color w:val="0070C0"/>
        <w:sz w:val="44"/>
        <w:szCs w:val="44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5962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693D7F">
      <w:rPr>
        <w:rFonts w:ascii="Palatino Linotype" w:hAnsi="Palatino Linotype"/>
        <w:smallCaps/>
        <w:color w:val="0070C0"/>
        <w:sz w:val="44"/>
        <w:szCs w:val="44"/>
      </w:rPr>
      <w:t>Câmara Municipal de Araraquara</w:t>
    </w:r>
  </w:p>
  <w:p w:rsidR="00311C87" w:rsidRDefault="007545B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</w:p>
  <w:p w:rsidR="00311C87" w:rsidRDefault="00311C87" w:rsidP="00751C03">
    <w:pPr>
      <w:spacing w:line="240" w:lineRule="auto"/>
      <w:jc w:val="center"/>
      <w:rPr>
        <w:rFonts w:ascii="Arial" w:hAnsi="Arial"/>
        <w:sz w:val="28"/>
        <w:szCs w:val="32"/>
      </w:rPr>
    </w:pPr>
  </w:p>
  <w:p w:rsidR="002F5765" w:rsidRPr="00693D7F" w:rsidRDefault="00311C87" w:rsidP="00751C03">
    <w:pPr>
      <w:spacing w:line="240" w:lineRule="auto"/>
      <w:jc w:val="center"/>
      <w:rPr>
        <w:rFonts w:ascii="Palatino Linotype" w:hAnsi="Palatino Linotype"/>
        <w:sz w:val="28"/>
        <w:szCs w:val="32"/>
      </w:rPr>
    </w:pPr>
    <w:r w:rsidRPr="00693D7F">
      <w:rPr>
        <w:rFonts w:ascii="Palatino Linotype" w:hAnsi="Palatino Linotype"/>
        <w:sz w:val="28"/>
        <w:szCs w:val="32"/>
      </w:rPr>
      <w:t>Comissão de Tributação, Finanças e Orçamento</w:t>
    </w:r>
    <w:r w:rsidR="007730A0">
      <w:rPr>
        <w:rFonts w:ascii="Palatino Linotype" w:hAnsi="Palatino Linotype"/>
        <w:sz w:val="28"/>
        <w:szCs w:val="32"/>
      </w:rPr>
      <w:t xml:space="preserve"> (CTFO)</w:t>
    </w:r>
    <w:r w:rsidRPr="00693D7F">
      <w:rPr>
        <w:rFonts w:ascii="Palatino Linotype" w:hAnsi="Palatino Linotype"/>
        <w:sz w:val="28"/>
        <w:szCs w:val="32"/>
      </w:rPr>
      <w:t xml:space="preserve"> e </w:t>
    </w:r>
    <w:r w:rsidR="00A939CC" w:rsidRPr="00693D7F">
      <w:rPr>
        <w:rFonts w:ascii="Palatino Linotype" w:hAnsi="Palatino Linotype"/>
        <w:sz w:val="28"/>
        <w:szCs w:val="32"/>
      </w:rPr>
      <w:t>Comissão de Justiça, Legislação e Redação</w:t>
    </w:r>
    <w:r w:rsidR="007730A0">
      <w:rPr>
        <w:rFonts w:ascii="Palatino Linotype" w:hAnsi="Palatino Linotype"/>
        <w:sz w:val="28"/>
        <w:szCs w:val="32"/>
      </w:rPr>
      <w:t xml:space="preserve"> (CJLR)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E6388C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26E6E0" w:tentative="1">
      <w:start w:val="1"/>
      <w:numFmt w:val="lowerLetter"/>
      <w:lvlText w:val="%2."/>
      <w:lvlJc w:val="left"/>
      <w:pPr>
        <w:ind w:left="1440" w:hanging="360"/>
      </w:pPr>
    </w:lvl>
    <w:lvl w:ilvl="2" w:tplc="CB38AF10" w:tentative="1">
      <w:start w:val="1"/>
      <w:numFmt w:val="lowerRoman"/>
      <w:lvlText w:val="%3."/>
      <w:lvlJc w:val="right"/>
      <w:pPr>
        <w:ind w:left="2160" w:hanging="180"/>
      </w:pPr>
    </w:lvl>
    <w:lvl w:ilvl="3" w:tplc="78B07C54" w:tentative="1">
      <w:start w:val="1"/>
      <w:numFmt w:val="decimal"/>
      <w:lvlText w:val="%4."/>
      <w:lvlJc w:val="left"/>
      <w:pPr>
        <w:ind w:left="2880" w:hanging="360"/>
      </w:pPr>
    </w:lvl>
    <w:lvl w:ilvl="4" w:tplc="31108972" w:tentative="1">
      <w:start w:val="1"/>
      <w:numFmt w:val="lowerLetter"/>
      <w:lvlText w:val="%5."/>
      <w:lvlJc w:val="left"/>
      <w:pPr>
        <w:ind w:left="3600" w:hanging="360"/>
      </w:pPr>
    </w:lvl>
    <w:lvl w:ilvl="5" w:tplc="8496DAD8" w:tentative="1">
      <w:start w:val="1"/>
      <w:numFmt w:val="lowerRoman"/>
      <w:lvlText w:val="%6."/>
      <w:lvlJc w:val="right"/>
      <w:pPr>
        <w:ind w:left="4320" w:hanging="180"/>
      </w:pPr>
    </w:lvl>
    <w:lvl w:ilvl="6" w:tplc="4588F106" w:tentative="1">
      <w:start w:val="1"/>
      <w:numFmt w:val="decimal"/>
      <w:lvlText w:val="%7."/>
      <w:lvlJc w:val="left"/>
      <w:pPr>
        <w:ind w:left="5040" w:hanging="360"/>
      </w:pPr>
    </w:lvl>
    <w:lvl w:ilvl="7" w:tplc="F2B6C7D4" w:tentative="1">
      <w:start w:val="1"/>
      <w:numFmt w:val="lowerLetter"/>
      <w:lvlText w:val="%8."/>
      <w:lvlJc w:val="left"/>
      <w:pPr>
        <w:ind w:left="5760" w:hanging="360"/>
      </w:pPr>
    </w:lvl>
    <w:lvl w:ilvl="8" w:tplc="B27CC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C5EE50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A702438" w:tentative="1">
      <w:start w:val="1"/>
      <w:numFmt w:val="lowerLetter"/>
      <w:lvlText w:val="%2."/>
      <w:lvlJc w:val="left"/>
      <w:pPr>
        <w:ind w:left="1130" w:hanging="360"/>
      </w:pPr>
    </w:lvl>
    <w:lvl w:ilvl="2" w:tplc="FA262D72" w:tentative="1">
      <w:start w:val="1"/>
      <w:numFmt w:val="lowerRoman"/>
      <w:lvlText w:val="%3."/>
      <w:lvlJc w:val="right"/>
      <w:pPr>
        <w:ind w:left="1850" w:hanging="180"/>
      </w:pPr>
    </w:lvl>
    <w:lvl w:ilvl="3" w:tplc="FA5C4964" w:tentative="1">
      <w:start w:val="1"/>
      <w:numFmt w:val="decimal"/>
      <w:lvlText w:val="%4."/>
      <w:lvlJc w:val="left"/>
      <w:pPr>
        <w:ind w:left="2570" w:hanging="360"/>
      </w:pPr>
    </w:lvl>
    <w:lvl w:ilvl="4" w:tplc="11F0944E" w:tentative="1">
      <w:start w:val="1"/>
      <w:numFmt w:val="lowerLetter"/>
      <w:lvlText w:val="%5."/>
      <w:lvlJc w:val="left"/>
      <w:pPr>
        <w:ind w:left="3290" w:hanging="360"/>
      </w:pPr>
    </w:lvl>
    <w:lvl w:ilvl="5" w:tplc="DC74C718" w:tentative="1">
      <w:start w:val="1"/>
      <w:numFmt w:val="lowerRoman"/>
      <w:lvlText w:val="%6."/>
      <w:lvlJc w:val="right"/>
      <w:pPr>
        <w:ind w:left="4010" w:hanging="180"/>
      </w:pPr>
    </w:lvl>
    <w:lvl w:ilvl="6" w:tplc="695EB2F2" w:tentative="1">
      <w:start w:val="1"/>
      <w:numFmt w:val="decimal"/>
      <w:lvlText w:val="%7."/>
      <w:lvlJc w:val="left"/>
      <w:pPr>
        <w:ind w:left="4730" w:hanging="360"/>
      </w:pPr>
    </w:lvl>
    <w:lvl w:ilvl="7" w:tplc="9AF8ABBE" w:tentative="1">
      <w:start w:val="1"/>
      <w:numFmt w:val="lowerLetter"/>
      <w:lvlText w:val="%8."/>
      <w:lvlJc w:val="left"/>
      <w:pPr>
        <w:ind w:left="5450" w:hanging="360"/>
      </w:pPr>
    </w:lvl>
    <w:lvl w:ilvl="8" w:tplc="0EDA2AF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6EE00F70">
      <w:start w:val="1"/>
      <w:numFmt w:val="decimal"/>
      <w:lvlText w:val="%1."/>
      <w:lvlJc w:val="left"/>
      <w:pPr>
        <w:ind w:left="770" w:hanging="360"/>
      </w:pPr>
    </w:lvl>
    <w:lvl w:ilvl="1" w:tplc="9BA0E912" w:tentative="1">
      <w:start w:val="1"/>
      <w:numFmt w:val="lowerLetter"/>
      <w:lvlText w:val="%2."/>
      <w:lvlJc w:val="left"/>
      <w:pPr>
        <w:ind w:left="1490" w:hanging="360"/>
      </w:pPr>
    </w:lvl>
    <w:lvl w:ilvl="2" w:tplc="15F49898" w:tentative="1">
      <w:start w:val="1"/>
      <w:numFmt w:val="lowerRoman"/>
      <w:lvlText w:val="%3."/>
      <w:lvlJc w:val="right"/>
      <w:pPr>
        <w:ind w:left="2210" w:hanging="180"/>
      </w:pPr>
    </w:lvl>
    <w:lvl w:ilvl="3" w:tplc="9CB8CC40" w:tentative="1">
      <w:start w:val="1"/>
      <w:numFmt w:val="decimal"/>
      <w:lvlText w:val="%4."/>
      <w:lvlJc w:val="left"/>
      <w:pPr>
        <w:ind w:left="2930" w:hanging="360"/>
      </w:pPr>
    </w:lvl>
    <w:lvl w:ilvl="4" w:tplc="476436F2" w:tentative="1">
      <w:start w:val="1"/>
      <w:numFmt w:val="lowerLetter"/>
      <w:lvlText w:val="%5."/>
      <w:lvlJc w:val="left"/>
      <w:pPr>
        <w:ind w:left="3650" w:hanging="360"/>
      </w:pPr>
    </w:lvl>
    <w:lvl w:ilvl="5" w:tplc="35CEAF52" w:tentative="1">
      <w:start w:val="1"/>
      <w:numFmt w:val="lowerRoman"/>
      <w:lvlText w:val="%6."/>
      <w:lvlJc w:val="right"/>
      <w:pPr>
        <w:ind w:left="4370" w:hanging="180"/>
      </w:pPr>
    </w:lvl>
    <w:lvl w:ilvl="6" w:tplc="6024A280" w:tentative="1">
      <w:start w:val="1"/>
      <w:numFmt w:val="decimal"/>
      <w:lvlText w:val="%7."/>
      <w:lvlJc w:val="left"/>
      <w:pPr>
        <w:ind w:left="5090" w:hanging="360"/>
      </w:pPr>
    </w:lvl>
    <w:lvl w:ilvl="7" w:tplc="AEB87E00" w:tentative="1">
      <w:start w:val="1"/>
      <w:numFmt w:val="lowerLetter"/>
      <w:lvlText w:val="%8."/>
      <w:lvlJc w:val="left"/>
      <w:pPr>
        <w:ind w:left="5810" w:hanging="360"/>
      </w:pPr>
    </w:lvl>
    <w:lvl w:ilvl="8" w:tplc="52169DE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0B48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1F5D"/>
    <w:rsid w:val="000C5E7B"/>
    <w:rsid w:val="000D29BF"/>
    <w:rsid w:val="000D3138"/>
    <w:rsid w:val="000D5F80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C7686"/>
    <w:rsid w:val="002D6FE2"/>
    <w:rsid w:val="002E2968"/>
    <w:rsid w:val="002E4C11"/>
    <w:rsid w:val="002E555F"/>
    <w:rsid w:val="002F2944"/>
    <w:rsid w:val="002F39AC"/>
    <w:rsid w:val="002F5765"/>
    <w:rsid w:val="002F5A90"/>
    <w:rsid w:val="003029A5"/>
    <w:rsid w:val="0030770A"/>
    <w:rsid w:val="00311C87"/>
    <w:rsid w:val="00324875"/>
    <w:rsid w:val="00327B0F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05FAE"/>
    <w:rsid w:val="006112CC"/>
    <w:rsid w:val="00624A5E"/>
    <w:rsid w:val="00625E87"/>
    <w:rsid w:val="006302CD"/>
    <w:rsid w:val="00631D37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26DF"/>
    <w:rsid w:val="006848DA"/>
    <w:rsid w:val="00690A1F"/>
    <w:rsid w:val="00693D7F"/>
    <w:rsid w:val="006A2506"/>
    <w:rsid w:val="006B2547"/>
    <w:rsid w:val="006B6B54"/>
    <w:rsid w:val="006C32A0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36B0"/>
    <w:rsid w:val="00714AE4"/>
    <w:rsid w:val="0072570A"/>
    <w:rsid w:val="007418D3"/>
    <w:rsid w:val="00751C03"/>
    <w:rsid w:val="007545B0"/>
    <w:rsid w:val="00756229"/>
    <w:rsid w:val="00760CB5"/>
    <w:rsid w:val="007622D2"/>
    <w:rsid w:val="00764662"/>
    <w:rsid w:val="007730A0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30EE0"/>
    <w:rsid w:val="00852AF6"/>
    <w:rsid w:val="00855C8A"/>
    <w:rsid w:val="00857BAF"/>
    <w:rsid w:val="00863AE8"/>
    <w:rsid w:val="0086436D"/>
    <w:rsid w:val="0086780D"/>
    <w:rsid w:val="00870902"/>
    <w:rsid w:val="00871077"/>
    <w:rsid w:val="008757C1"/>
    <w:rsid w:val="00877BAE"/>
    <w:rsid w:val="00880A58"/>
    <w:rsid w:val="00887917"/>
    <w:rsid w:val="0089403A"/>
    <w:rsid w:val="008946E3"/>
    <w:rsid w:val="008A3CA1"/>
    <w:rsid w:val="008A502E"/>
    <w:rsid w:val="008B56CB"/>
    <w:rsid w:val="008B7176"/>
    <w:rsid w:val="008C0CD5"/>
    <w:rsid w:val="008C5E36"/>
    <w:rsid w:val="008D0FE4"/>
    <w:rsid w:val="008E32AE"/>
    <w:rsid w:val="00901D0B"/>
    <w:rsid w:val="00903CF9"/>
    <w:rsid w:val="00904DFE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2171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63BB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19C0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1300"/>
    <w:rsid w:val="00BB599F"/>
    <w:rsid w:val="00BC0DE9"/>
    <w:rsid w:val="00BD7ABC"/>
    <w:rsid w:val="00C01FE7"/>
    <w:rsid w:val="00C048FF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3D56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37E4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2F94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2670"/>
    <w:rsid w:val="00FA644F"/>
    <w:rsid w:val="00FB05AF"/>
    <w:rsid w:val="00FB0977"/>
    <w:rsid w:val="00FC4AFA"/>
    <w:rsid w:val="00FC5C51"/>
    <w:rsid w:val="00FD469B"/>
    <w:rsid w:val="00FE11D0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DD1D3B-E7E2-47B1-9D42-3E95EC1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9596-27F9-46A5-9E69-5283E4BE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1179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16</cp:revision>
  <cp:lastPrinted>2018-06-08T17:01:00Z</cp:lastPrinted>
  <dcterms:created xsi:type="dcterms:W3CDTF">2023-06-16T19:13:00Z</dcterms:created>
  <dcterms:modified xsi:type="dcterms:W3CDTF">2025-03-21T17:23:00Z</dcterms:modified>
</cp:coreProperties>
</file>