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60C67" w:rsidTr="0086780D">
        <w:tc>
          <w:tcPr>
            <w:tcW w:w="2552" w:type="dxa"/>
          </w:tcPr>
          <w:p w:rsidR="006848DA" w:rsidRPr="006848DA" w:rsidRDefault="00073A1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073A1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240</w:t>
            </w:r>
          </w:p>
        </w:tc>
        <w:tc>
          <w:tcPr>
            <w:tcW w:w="1797" w:type="dxa"/>
          </w:tcPr>
          <w:p w:rsidR="006848DA" w:rsidRPr="006848DA" w:rsidRDefault="00073A1E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073A1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Complementar nº 13/2021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73A1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196/2021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73A1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ALUISIO BOI, EDSON HEL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73A1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Altera a Lei Complementar nº 945, de 19 de maio de 2021, de modo a substituir ‘lâmpadas de LED’ por ‘conjunto de equipamentos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de iluminação pública com tecnologia LED’.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357A" w:rsidRPr="0063357A" w:rsidRDefault="00073A1E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63357A" w:rsidRPr="0063357A">
        <w:rPr>
          <w:rFonts w:ascii="Arial" w:eastAsia="Times New Roman" w:hAnsi="Arial" w:cs="Arial"/>
          <w:szCs w:val="24"/>
          <w:lang w:eastAsia="pt-BR"/>
        </w:rPr>
        <w:t xml:space="preserve">A elaboração da propositura atendeu as normas regimentais vigentes. </w:t>
      </w: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3357A">
        <w:rPr>
          <w:rFonts w:ascii="Arial" w:eastAsia="Times New Roman" w:hAnsi="Arial" w:cs="Arial"/>
          <w:szCs w:val="24"/>
          <w:lang w:eastAsia="pt-BR"/>
        </w:rPr>
        <w:tab/>
      </w:r>
      <w:r w:rsidRPr="0063357A">
        <w:rPr>
          <w:rFonts w:ascii="Arial" w:eastAsia="Times New Roman" w:hAnsi="Arial" w:cs="Arial"/>
          <w:szCs w:val="24"/>
          <w:lang w:eastAsia="pt-BR"/>
        </w:rPr>
        <w:tab/>
        <w:t>O Município de Araraquara tem competência legislativa e administrativa para lecionar sobre normas urbanísticas, correspondentemente nos termos da intepretação sistemáti</w:t>
      </w:r>
      <w:r w:rsidR="004601DB">
        <w:rPr>
          <w:rFonts w:ascii="Arial" w:eastAsia="Times New Roman" w:hAnsi="Arial" w:cs="Arial"/>
          <w:szCs w:val="24"/>
          <w:lang w:eastAsia="pt-BR"/>
        </w:rPr>
        <w:t xml:space="preserve">ca dos </w:t>
      </w:r>
      <w:proofErr w:type="spellStart"/>
      <w:r w:rsidR="004601DB">
        <w:rPr>
          <w:rFonts w:ascii="Arial" w:eastAsia="Times New Roman" w:hAnsi="Arial" w:cs="Arial"/>
          <w:szCs w:val="24"/>
          <w:lang w:eastAsia="pt-BR"/>
        </w:rPr>
        <w:t>arts</w:t>
      </w:r>
      <w:proofErr w:type="spellEnd"/>
      <w:r w:rsidR="004601DB">
        <w:rPr>
          <w:rFonts w:ascii="Arial" w:eastAsia="Times New Roman" w:hAnsi="Arial" w:cs="Arial"/>
          <w:szCs w:val="24"/>
          <w:lang w:eastAsia="pt-BR"/>
        </w:rPr>
        <w:t xml:space="preserve">. 24, I, c/c 30, I e </w:t>
      </w:r>
      <w:r w:rsidRPr="0063357A">
        <w:rPr>
          <w:rFonts w:ascii="Arial" w:eastAsia="Times New Roman" w:hAnsi="Arial" w:cs="Arial"/>
          <w:szCs w:val="24"/>
          <w:lang w:eastAsia="pt-BR"/>
        </w:rPr>
        <w:t xml:space="preserve">II, da Constituição Federal (CF) e do art. 30, I e VIII, deste mesmo diploma, no tocante à promoção, “no que couber, do adequado ordenamento territorial, mediante planejamento e controle do uso, do parcelamento e da ocupação do solo urbano”. </w:t>
      </w: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3357A">
        <w:rPr>
          <w:rFonts w:ascii="Arial" w:eastAsia="Times New Roman" w:hAnsi="Arial" w:cs="Arial"/>
          <w:szCs w:val="24"/>
          <w:lang w:eastAsia="pt-BR"/>
        </w:rPr>
        <w:tab/>
      </w:r>
      <w:r w:rsidRPr="0063357A">
        <w:rPr>
          <w:rFonts w:ascii="Arial" w:eastAsia="Times New Roman" w:hAnsi="Arial" w:cs="Arial"/>
          <w:szCs w:val="24"/>
          <w:lang w:eastAsia="pt-BR"/>
        </w:rPr>
        <w:tab/>
        <w:t>Ora, planejar e executar a política urbana são, indubitavelmente, algumas das principais atribuições do Município. Para desenvolver essas atribuições, o Município deve legislar e fiscalizar o uso e a ocupação do solo urbano de maneira a efetivar tal vivificação territorial, buscando alcançar as funções sociais da cidade.</w:t>
      </w: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3357A">
        <w:rPr>
          <w:rFonts w:ascii="Arial" w:eastAsia="Times New Roman" w:hAnsi="Arial" w:cs="Arial"/>
          <w:szCs w:val="24"/>
          <w:lang w:eastAsia="pt-BR"/>
        </w:rPr>
        <w:tab/>
      </w:r>
      <w:r w:rsidRPr="0063357A">
        <w:rPr>
          <w:rFonts w:ascii="Arial" w:eastAsia="Times New Roman" w:hAnsi="Arial" w:cs="Arial"/>
          <w:szCs w:val="24"/>
          <w:lang w:eastAsia="pt-BR"/>
        </w:rPr>
        <w:tab/>
        <w:t xml:space="preserve">Relatada a competência municipal para versar sobre o tema, não há, sem dúvidas, indevida ingerência do Poder Legislativo sob o espectro de atuação do Poder Executivo, não havendo afronta ao rol de competências legislativas exclusivas do senhor Prefeito, o qual deve ser restritivamente interpretado (Tema nº 917 de Repercussão Geral – Supremo Tribunal Federal - STF), previsto no art. 74 da Lei Orgânica desta “Morada do Sol” em plena e inescapável sintonia com as cartas constitucionais. </w:t>
      </w: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3357A">
        <w:rPr>
          <w:rFonts w:ascii="Arial" w:eastAsia="Times New Roman" w:hAnsi="Arial" w:cs="Arial"/>
          <w:szCs w:val="24"/>
          <w:lang w:eastAsia="pt-BR"/>
        </w:rPr>
        <w:tab/>
      </w:r>
      <w:r w:rsidRPr="0063357A">
        <w:rPr>
          <w:rFonts w:ascii="Arial" w:eastAsia="Times New Roman" w:hAnsi="Arial" w:cs="Arial"/>
          <w:szCs w:val="24"/>
          <w:lang w:eastAsia="pt-BR"/>
        </w:rPr>
        <w:tab/>
        <w:t>Sobre as matérias de competência do Alcaide, veja o que Hely Lopes Meirelles ensina:</w:t>
      </w: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357A" w:rsidRPr="00991970" w:rsidRDefault="0063357A" w:rsidP="00991970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2268"/>
        <w:jc w:val="both"/>
        <w:rPr>
          <w:rFonts w:ascii="Arial" w:eastAsia="Times New Roman" w:hAnsi="Arial" w:cs="Arial"/>
          <w:sz w:val="22"/>
          <w:lang w:eastAsia="pt-BR"/>
        </w:rPr>
      </w:pPr>
      <w:r w:rsidRPr="00991970">
        <w:rPr>
          <w:rFonts w:ascii="Arial" w:eastAsia="Times New Roman" w:hAnsi="Arial" w:cs="Arial"/>
          <w:sz w:val="22"/>
          <w:lang w:eastAsia="pt-BR"/>
        </w:rPr>
        <w:t xml:space="preserve">"Leis de iniciativa exclusiva do prefeito são aquelas em que só a ele cabe o envio do projeto à Câmara. Nessa categoria estão as que disponham sobre a criação, estruturação e atribuição das secretarias, órgãos e entidades da Administração Pública Municipal; a criação de cargos, funções ou empregos públicos na Administração direta e autárquica, fixação e aumento de sua remuneração; o regime jurídico dos servidores municipais; e o plano plurianual, as diretrizes orçamentárias, os orçamentos </w:t>
      </w:r>
      <w:r w:rsidRPr="00991970">
        <w:rPr>
          <w:rFonts w:ascii="Arial" w:eastAsia="Times New Roman" w:hAnsi="Arial" w:cs="Arial"/>
          <w:sz w:val="22"/>
          <w:lang w:eastAsia="pt-BR"/>
        </w:rPr>
        <w:lastRenderedPageBreak/>
        <w:t xml:space="preserve">anuais, créditos suplementares e especiais" (Direito Municipal Brasileiro, 17ª edição, 2ª tiragem, São Paulo, Malheiros Editores,2014, pp. 760/761). </w:t>
      </w: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3357A">
        <w:rPr>
          <w:rFonts w:ascii="Arial" w:eastAsia="Times New Roman" w:hAnsi="Arial" w:cs="Arial"/>
          <w:szCs w:val="24"/>
          <w:lang w:eastAsia="pt-BR"/>
        </w:rPr>
        <w:tab/>
      </w:r>
      <w:r w:rsidRPr="0063357A">
        <w:rPr>
          <w:rFonts w:ascii="Arial" w:eastAsia="Times New Roman" w:hAnsi="Arial" w:cs="Arial"/>
          <w:szCs w:val="24"/>
          <w:lang w:eastAsia="pt-BR"/>
        </w:rPr>
        <w:tab/>
        <w:t xml:space="preserve">Neste prumo, trata-se – </w:t>
      </w:r>
      <w:r w:rsidRPr="00991970">
        <w:rPr>
          <w:rFonts w:ascii="Arial" w:eastAsia="Times New Roman" w:hAnsi="Arial" w:cs="Arial"/>
          <w:i/>
          <w:szCs w:val="24"/>
          <w:lang w:eastAsia="pt-BR"/>
        </w:rPr>
        <w:t xml:space="preserve">in </w:t>
      </w:r>
      <w:proofErr w:type="spellStart"/>
      <w:r w:rsidRPr="00991970">
        <w:rPr>
          <w:rFonts w:ascii="Arial" w:eastAsia="Times New Roman" w:hAnsi="Arial" w:cs="Arial"/>
          <w:i/>
          <w:szCs w:val="24"/>
          <w:lang w:eastAsia="pt-BR"/>
        </w:rPr>
        <w:t>casu</w:t>
      </w:r>
      <w:proofErr w:type="spellEnd"/>
      <w:r w:rsidRPr="0063357A">
        <w:rPr>
          <w:rFonts w:ascii="Arial" w:eastAsia="Times New Roman" w:hAnsi="Arial" w:cs="Arial"/>
          <w:szCs w:val="24"/>
          <w:lang w:eastAsia="pt-BR"/>
        </w:rPr>
        <w:t xml:space="preserve"> – de competência concorrente ou comum entre as entidades políticas desta urbe, de modo a se constatar que também não se trata de matéria embutida na seara administrativa reservada com exclusividade ao Chefe do Poder Executivo, uma vez que o planejamento suplicado pela propositura (tratar-se-á adiante) não é concretamente o administrativo, em que pese o Executivo – em razão de sua estrutura – seja o mais hábil a fazê-lo. </w:t>
      </w:r>
    </w:p>
    <w:p w:rsidR="0063357A" w:rsidRP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3357A">
        <w:rPr>
          <w:rFonts w:ascii="Arial" w:eastAsia="Times New Roman" w:hAnsi="Arial" w:cs="Arial"/>
          <w:szCs w:val="24"/>
          <w:lang w:eastAsia="pt-BR"/>
        </w:rPr>
        <w:tab/>
      </w:r>
      <w:r w:rsidRPr="0063357A">
        <w:rPr>
          <w:rFonts w:ascii="Arial" w:eastAsia="Times New Roman" w:hAnsi="Arial" w:cs="Arial"/>
          <w:szCs w:val="24"/>
          <w:lang w:eastAsia="pt-BR"/>
        </w:rPr>
        <w:tab/>
        <w:t>Quanto ao mérito, o plenário decidirá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63357A" w:rsidRDefault="0063357A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73A1E" w:rsidP="0063357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73A1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73A1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073A1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073A1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073A1E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573738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073A1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073A1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073A1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073A1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073A1E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63357A" w:rsidRDefault="009C5FA0" w:rsidP="0063357A">
      <w:pPr>
        <w:autoSpaceDE w:val="0"/>
        <w:autoSpaceDN w:val="0"/>
        <w:spacing w:line="240" w:lineRule="auto"/>
        <w:ind w:firstLine="708"/>
        <w:jc w:val="center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63357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1E" w:rsidRDefault="00073A1E">
      <w:pPr>
        <w:spacing w:line="240" w:lineRule="auto"/>
      </w:pPr>
      <w:r>
        <w:separator/>
      </w:r>
    </w:p>
  </w:endnote>
  <w:endnote w:type="continuationSeparator" w:id="0">
    <w:p w:rsidR="00073A1E" w:rsidRDefault="00073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073A1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073A1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073A1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73A1E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9197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91970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1E" w:rsidRDefault="00073A1E">
      <w:pPr>
        <w:spacing w:line="240" w:lineRule="auto"/>
      </w:pPr>
      <w:r>
        <w:separator/>
      </w:r>
    </w:p>
  </w:footnote>
  <w:footnote w:type="continuationSeparator" w:id="0">
    <w:p w:rsidR="00073A1E" w:rsidRDefault="00073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73A1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80365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Municipal </w:t>
    </w:r>
    <w:r w:rsidRPr="00A939CC">
      <w:rPr>
        <w:rFonts w:ascii="Cambria" w:hAnsi="Cambria"/>
        <w:smallCaps/>
        <w:color w:val="0070C0"/>
        <w:sz w:val="50"/>
      </w:rPr>
      <w:t>de Araraquara</w:t>
    </w:r>
  </w:p>
  <w:p w:rsidR="002F5765" w:rsidRPr="001E186C" w:rsidRDefault="00073A1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91213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5E8C3C" w:tentative="1">
      <w:start w:val="1"/>
      <w:numFmt w:val="lowerLetter"/>
      <w:lvlText w:val="%2."/>
      <w:lvlJc w:val="left"/>
      <w:pPr>
        <w:ind w:left="1440" w:hanging="360"/>
      </w:pPr>
    </w:lvl>
    <w:lvl w:ilvl="2" w:tplc="7AB6188A" w:tentative="1">
      <w:start w:val="1"/>
      <w:numFmt w:val="lowerRoman"/>
      <w:lvlText w:val="%3."/>
      <w:lvlJc w:val="right"/>
      <w:pPr>
        <w:ind w:left="2160" w:hanging="180"/>
      </w:pPr>
    </w:lvl>
    <w:lvl w:ilvl="3" w:tplc="DD465350" w:tentative="1">
      <w:start w:val="1"/>
      <w:numFmt w:val="decimal"/>
      <w:lvlText w:val="%4."/>
      <w:lvlJc w:val="left"/>
      <w:pPr>
        <w:ind w:left="2880" w:hanging="360"/>
      </w:pPr>
    </w:lvl>
    <w:lvl w:ilvl="4" w:tplc="BA060C56" w:tentative="1">
      <w:start w:val="1"/>
      <w:numFmt w:val="lowerLetter"/>
      <w:lvlText w:val="%5."/>
      <w:lvlJc w:val="left"/>
      <w:pPr>
        <w:ind w:left="3600" w:hanging="360"/>
      </w:pPr>
    </w:lvl>
    <w:lvl w:ilvl="5" w:tplc="9E581D3A" w:tentative="1">
      <w:start w:val="1"/>
      <w:numFmt w:val="lowerRoman"/>
      <w:lvlText w:val="%6."/>
      <w:lvlJc w:val="right"/>
      <w:pPr>
        <w:ind w:left="4320" w:hanging="180"/>
      </w:pPr>
    </w:lvl>
    <w:lvl w:ilvl="6" w:tplc="9794AF04" w:tentative="1">
      <w:start w:val="1"/>
      <w:numFmt w:val="decimal"/>
      <w:lvlText w:val="%7."/>
      <w:lvlJc w:val="left"/>
      <w:pPr>
        <w:ind w:left="5040" w:hanging="360"/>
      </w:pPr>
    </w:lvl>
    <w:lvl w:ilvl="7" w:tplc="E2A2F288" w:tentative="1">
      <w:start w:val="1"/>
      <w:numFmt w:val="lowerLetter"/>
      <w:lvlText w:val="%8."/>
      <w:lvlJc w:val="left"/>
      <w:pPr>
        <w:ind w:left="5760" w:hanging="360"/>
      </w:pPr>
    </w:lvl>
    <w:lvl w:ilvl="8" w:tplc="0E52A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266F16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09A4AEE" w:tentative="1">
      <w:start w:val="1"/>
      <w:numFmt w:val="lowerLetter"/>
      <w:lvlText w:val="%2."/>
      <w:lvlJc w:val="left"/>
      <w:pPr>
        <w:ind w:left="1130" w:hanging="360"/>
      </w:pPr>
    </w:lvl>
    <w:lvl w:ilvl="2" w:tplc="E9806472" w:tentative="1">
      <w:start w:val="1"/>
      <w:numFmt w:val="lowerRoman"/>
      <w:lvlText w:val="%3."/>
      <w:lvlJc w:val="right"/>
      <w:pPr>
        <w:ind w:left="1850" w:hanging="180"/>
      </w:pPr>
    </w:lvl>
    <w:lvl w:ilvl="3" w:tplc="DF76389A" w:tentative="1">
      <w:start w:val="1"/>
      <w:numFmt w:val="decimal"/>
      <w:lvlText w:val="%4."/>
      <w:lvlJc w:val="left"/>
      <w:pPr>
        <w:ind w:left="2570" w:hanging="360"/>
      </w:pPr>
    </w:lvl>
    <w:lvl w:ilvl="4" w:tplc="DDAC9DB8" w:tentative="1">
      <w:start w:val="1"/>
      <w:numFmt w:val="lowerLetter"/>
      <w:lvlText w:val="%5."/>
      <w:lvlJc w:val="left"/>
      <w:pPr>
        <w:ind w:left="3290" w:hanging="360"/>
      </w:pPr>
    </w:lvl>
    <w:lvl w:ilvl="5" w:tplc="11EC01BE" w:tentative="1">
      <w:start w:val="1"/>
      <w:numFmt w:val="lowerRoman"/>
      <w:lvlText w:val="%6."/>
      <w:lvlJc w:val="right"/>
      <w:pPr>
        <w:ind w:left="4010" w:hanging="180"/>
      </w:pPr>
    </w:lvl>
    <w:lvl w:ilvl="6" w:tplc="30BAA02A" w:tentative="1">
      <w:start w:val="1"/>
      <w:numFmt w:val="decimal"/>
      <w:lvlText w:val="%7."/>
      <w:lvlJc w:val="left"/>
      <w:pPr>
        <w:ind w:left="4730" w:hanging="360"/>
      </w:pPr>
    </w:lvl>
    <w:lvl w:ilvl="7" w:tplc="EC7253BC" w:tentative="1">
      <w:start w:val="1"/>
      <w:numFmt w:val="lowerLetter"/>
      <w:lvlText w:val="%8."/>
      <w:lvlJc w:val="left"/>
      <w:pPr>
        <w:ind w:left="5450" w:hanging="360"/>
      </w:pPr>
    </w:lvl>
    <w:lvl w:ilvl="8" w:tplc="BCCA02B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D48A790">
      <w:start w:val="1"/>
      <w:numFmt w:val="decimal"/>
      <w:lvlText w:val="%1."/>
      <w:lvlJc w:val="left"/>
      <w:pPr>
        <w:ind w:left="770" w:hanging="360"/>
      </w:pPr>
    </w:lvl>
    <w:lvl w:ilvl="1" w:tplc="AAF636B8" w:tentative="1">
      <w:start w:val="1"/>
      <w:numFmt w:val="lowerLetter"/>
      <w:lvlText w:val="%2."/>
      <w:lvlJc w:val="left"/>
      <w:pPr>
        <w:ind w:left="1490" w:hanging="360"/>
      </w:pPr>
    </w:lvl>
    <w:lvl w:ilvl="2" w:tplc="B9A8FCD0" w:tentative="1">
      <w:start w:val="1"/>
      <w:numFmt w:val="lowerRoman"/>
      <w:lvlText w:val="%3."/>
      <w:lvlJc w:val="right"/>
      <w:pPr>
        <w:ind w:left="2210" w:hanging="180"/>
      </w:pPr>
    </w:lvl>
    <w:lvl w:ilvl="3" w:tplc="6938E090" w:tentative="1">
      <w:start w:val="1"/>
      <w:numFmt w:val="decimal"/>
      <w:lvlText w:val="%4."/>
      <w:lvlJc w:val="left"/>
      <w:pPr>
        <w:ind w:left="2930" w:hanging="360"/>
      </w:pPr>
    </w:lvl>
    <w:lvl w:ilvl="4" w:tplc="94167EFA" w:tentative="1">
      <w:start w:val="1"/>
      <w:numFmt w:val="lowerLetter"/>
      <w:lvlText w:val="%5."/>
      <w:lvlJc w:val="left"/>
      <w:pPr>
        <w:ind w:left="3650" w:hanging="360"/>
      </w:pPr>
    </w:lvl>
    <w:lvl w:ilvl="5" w:tplc="CAD84FCC" w:tentative="1">
      <w:start w:val="1"/>
      <w:numFmt w:val="lowerRoman"/>
      <w:lvlText w:val="%6."/>
      <w:lvlJc w:val="right"/>
      <w:pPr>
        <w:ind w:left="4370" w:hanging="180"/>
      </w:pPr>
    </w:lvl>
    <w:lvl w:ilvl="6" w:tplc="98509A64" w:tentative="1">
      <w:start w:val="1"/>
      <w:numFmt w:val="decimal"/>
      <w:lvlText w:val="%7."/>
      <w:lvlJc w:val="left"/>
      <w:pPr>
        <w:ind w:left="5090" w:hanging="360"/>
      </w:pPr>
    </w:lvl>
    <w:lvl w:ilvl="7" w:tplc="7844520E" w:tentative="1">
      <w:start w:val="1"/>
      <w:numFmt w:val="lowerLetter"/>
      <w:lvlText w:val="%8."/>
      <w:lvlJc w:val="left"/>
      <w:pPr>
        <w:ind w:left="5810" w:hanging="360"/>
      </w:pPr>
    </w:lvl>
    <w:lvl w:ilvl="8" w:tplc="4F9A449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3A1E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0C67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01DB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2F2D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3738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57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970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B032-6FC6-4F27-895D-4DDA5F41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15</cp:revision>
  <cp:lastPrinted>2018-06-08T17:01:00Z</cp:lastPrinted>
  <dcterms:created xsi:type="dcterms:W3CDTF">2019-01-29T17:14:00Z</dcterms:created>
  <dcterms:modified xsi:type="dcterms:W3CDTF">2021-07-27T17:20:00Z</dcterms:modified>
</cp:coreProperties>
</file>