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E32A2" w:rsidTr="0086780D">
        <w:tc>
          <w:tcPr>
            <w:tcW w:w="2552" w:type="dxa"/>
          </w:tcPr>
          <w:p w:rsidR="006848DA" w:rsidRPr="006848DA" w:rsidRDefault="008C3629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8C3629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222</w:t>
            </w:r>
          </w:p>
        </w:tc>
        <w:tc>
          <w:tcPr>
            <w:tcW w:w="1797" w:type="dxa"/>
          </w:tcPr>
          <w:p w:rsidR="006848DA" w:rsidRPr="006848DA" w:rsidRDefault="008C3629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8C3629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173/2021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C3629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229/2021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C3629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LINEU CARLOS DE ASSIS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C3629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Obriga agências bancárias a fornecerem cadeiras de rodas às pessoas com mobilidade reduzida ou deficiência física com dificuldade de locomoção,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8C362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8C3629" w:rsidP="00FF7AF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FF7AFC">
        <w:rPr>
          <w:rFonts w:ascii="Arial" w:eastAsia="Times New Roman" w:hAnsi="Arial" w:cs="Arial"/>
          <w:szCs w:val="24"/>
          <w:lang w:eastAsia="pt-BR"/>
        </w:rPr>
        <w:t xml:space="preserve">De proêmio, observa-se, </w:t>
      </w:r>
      <w:r w:rsidR="00FF7AFC" w:rsidRPr="00FF7AFC">
        <w:rPr>
          <w:rFonts w:ascii="Arial" w:eastAsia="Times New Roman" w:hAnsi="Arial" w:cs="Arial"/>
          <w:szCs w:val="24"/>
          <w:lang w:eastAsia="pt-BR"/>
        </w:rPr>
        <w:t>qu</w:t>
      </w:r>
      <w:r w:rsidR="00FF7AFC">
        <w:rPr>
          <w:rFonts w:ascii="Arial" w:eastAsia="Times New Roman" w:hAnsi="Arial" w:cs="Arial"/>
          <w:szCs w:val="24"/>
          <w:lang w:eastAsia="pt-BR"/>
        </w:rPr>
        <w:t xml:space="preserve">e a propositura em apreço tem por fim </w:t>
      </w:r>
      <w:r w:rsidR="00FF7AFC" w:rsidRPr="00FF7AFC">
        <w:rPr>
          <w:rFonts w:ascii="Arial" w:eastAsia="Times New Roman" w:hAnsi="Arial" w:cs="Arial"/>
          <w:szCs w:val="24"/>
          <w:lang w:eastAsia="pt-BR"/>
        </w:rPr>
        <w:t xml:space="preserve">facilitar o acesso de </w:t>
      </w:r>
      <w:r w:rsidR="00FF7AFC">
        <w:rPr>
          <w:rFonts w:ascii="Arial" w:eastAsia="Times New Roman" w:hAnsi="Arial" w:cs="Arial"/>
          <w:szCs w:val="24"/>
          <w:lang w:eastAsia="pt-BR"/>
        </w:rPr>
        <w:t xml:space="preserve">pessoas com </w:t>
      </w:r>
      <w:r w:rsidR="00FF7AFC" w:rsidRPr="00FF7AFC">
        <w:rPr>
          <w:rFonts w:ascii="Arial" w:eastAsia="Times New Roman" w:hAnsi="Arial" w:cs="Arial"/>
          <w:szCs w:val="24"/>
          <w:lang w:eastAsia="pt-BR"/>
        </w:rPr>
        <w:t>d</w:t>
      </w:r>
      <w:r w:rsidR="00FF7AFC">
        <w:rPr>
          <w:rFonts w:ascii="Arial" w:eastAsia="Times New Roman" w:hAnsi="Arial" w:cs="Arial"/>
          <w:szCs w:val="24"/>
          <w:lang w:eastAsia="pt-BR"/>
        </w:rPr>
        <w:t xml:space="preserve">eficiência física e pessoas com </w:t>
      </w:r>
      <w:r w:rsidR="00FF7AFC" w:rsidRPr="00FF7AFC">
        <w:rPr>
          <w:rFonts w:ascii="Arial" w:eastAsia="Times New Roman" w:hAnsi="Arial" w:cs="Arial"/>
          <w:szCs w:val="24"/>
          <w:lang w:eastAsia="pt-BR"/>
        </w:rPr>
        <w:t>mobilidade reduzida</w:t>
      </w:r>
      <w:r w:rsidR="00FF7AFC">
        <w:rPr>
          <w:rFonts w:ascii="Arial" w:eastAsia="Times New Roman" w:hAnsi="Arial" w:cs="Arial"/>
          <w:szCs w:val="24"/>
          <w:lang w:eastAsia="pt-BR"/>
        </w:rPr>
        <w:t xml:space="preserve"> nas agências bancárias situadas em Araraquara. </w:t>
      </w:r>
    </w:p>
    <w:p w:rsidR="00FF7AFC" w:rsidRDefault="00FF7AFC" w:rsidP="00FF7AF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67618" w:rsidRDefault="00FF7AFC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Nessa esteira, de </w:t>
      </w:r>
      <w:r w:rsidRPr="00FF7AFC">
        <w:rPr>
          <w:rFonts w:ascii="Arial" w:eastAsia="Times New Roman" w:hAnsi="Arial" w:cs="Arial"/>
          <w:szCs w:val="24"/>
          <w:lang w:eastAsia="pt-BR"/>
        </w:rPr>
        <w:t xml:space="preserve">iniciativa parlamentar, </w:t>
      </w:r>
      <w:r>
        <w:rPr>
          <w:rFonts w:ascii="Arial" w:eastAsia="Times New Roman" w:hAnsi="Arial" w:cs="Arial"/>
          <w:szCs w:val="24"/>
          <w:lang w:eastAsia="pt-BR"/>
        </w:rPr>
        <w:t xml:space="preserve">a propositura dispõe, de forma suplementar, sobre </w:t>
      </w:r>
      <w:r w:rsidRPr="00FF7AFC">
        <w:rPr>
          <w:rFonts w:ascii="Arial" w:eastAsia="Times New Roman" w:hAnsi="Arial" w:cs="Arial"/>
          <w:szCs w:val="24"/>
          <w:lang w:eastAsia="pt-BR"/>
        </w:rPr>
        <w:t xml:space="preserve">proteção e garantia de direitos de </w:t>
      </w:r>
      <w:r w:rsidR="00167618">
        <w:rPr>
          <w:rFonts w:ascii="Arial" w:eastAsia="Times New Roman" w:hAnsi="Arial" w:cs="Arial"/>
          <w:szCs w:val="24"/>
          <w:lang w:eastAsia="pt-BR"/>
        </w:rPr>
        <w:t>pessoas com</w:t>
      </w:r>
      <w:r>
        <w:rPr>
          <w:rFonts w:ascii="Arial" w:eastAsia="Times New Roman" w:hAnsi="Arial" w:cs="Arial"/>
          <w:szCs w:val="24"/>
          <w:lang w:eastAsia="pt-BR"/>
        </w:rPr>
        <w:t xml:space="preserve"> deficiência física e </w:t>
      </w:r>
      <w:r w:rsidRPr="00FF7AFC">
        <w:rPr>
          <w:rFonts w:ascii="Arial" w:eastAsia="Times New Roman" w:hAnsi="Arial" w:cs="Arial"/>
          <w:szCs w:val="24"/>
          <w:lang w:eastAsia="pt-BR"/>
        </w:rPr>
        <w:t xml:space="preserve">mobilidade reduzida, </w:t>
      </w:r>
      <w:r>
        <w:rPr>
          <w:rFonts w:ascii="Arial" w:eastAsia="Times New Roman" w:hAnsi="Arial" w:cs="Arial"/>
          <w:szCs w:val="24"/>
          <w:lang w:eastAsia="pt-BR"/>
        </w:rPr>
        <w:t>e dirige sua imposição</w:t>
      </w:r>
      <w:r w:rsidRPr="00FF7AFC">
        <w:rPr>
          <w:rFonts w:ascii="Arial" w:eastAsia="Times New Roman" w:hAnsi="Arial" w:cs="Arial"/>
          <w:szCs w:val="24"/>
          <w:lang w:eastAsia="pt-BR"/>
        </w:rPr>
        <w:t xml:space="preserve"> exclusi</w:t>
      </w:r>
      <w:r>
        <w:rPr>
          <w:rFonts w:ascii="Arial" w:eastAsia="Times New Roman" w:hAnsi="Arial" w:cs="Arial"/>
          <w:szCs w:val="24"/>
          <w:lang w:eastAsia="pt-BR"/>
        </w:rPr>
        <w:t xml:space="preserve">vamente a estabelecimentos </w:t>
      </w:r>
      <w:r w:rsidRPr="00FF7AFC">
        <w:rPr>
          <w:rFonts w:ascii="Arial" w:eastAsia="Times New Roman" w:hAnsi="Arial" w:cs="Arial"/>
          <w:szCs w:val="24"/>
          <w:lang w:eastAsia="pt-BR"/>
        </w:rPr>
        <w:t>particulares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, de modo que a 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>matéria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 é, 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>evidentemente</w:t>
      </w:r>
      <w:r w:rsidR="00167618">
        <w:rPr>
          <w:rFonts w:ascii="Arial" w:eastAsia="Times New Roman" w:hAnsi="Arial" w:cs="Arial"/>
          <w:szCs w:val="24"/>
          <w:lang w:eastAsia="pt-BR"/>
        </w:rPr>
        <w:t>,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 xml:space="preserve"> de interesse local, 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bem como 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>de competência comum ou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 c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>oncorrente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 entre o Legislativo e o Executivo, </w:t>
      </w:r>
      <w:r w:rsidR="00167618" w:rsidRPr="00167618">
        <w:rPr>
          <w:rFonts w:ascii="Arial" w:eastAsia="Times New Roman" w:hAnsi="Arial" w:cs="Arial"/>
          <w:szCs w:val="24"/>
          <w:lang w:eastAsia="pt-BR"/>
        </w:rPr>
        <w:t>não havendo q</w:t>
      </w:r>
      <w:r w:rsidR="00167618">
        <w:rPr>
          <w:rFonts w:ascii="Arial" w:eastAsia="Times New Roman" w:hAnsi="Arial" w:cs="Arial"/>
          <w:szCs w:val="24"/>
          <w:lang w:eastAsia="pt-BR"/>
        </w:rPr>
        <w:t xml:space="preserve">ue se falar em exclusividade de iniciativa reservada deste último. </w:t>
      </w:r>
    </w:p>
    <w:p w:rsidR="00167618" w:rsidRDefault="00167618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67618" w:rsidRDefault="00167618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No ponto, a proposição suplementa a Lei Federal nº 10.098, de 19 de dezembro de </w:t>
      </w:r>
      <w:r w:rsidRPr="00167618">
        <w:rPr>
          <w:rFonts w:ascii="Arial" w:eastAsia="Times New Roman" w:hAnsi="Arial" w:cs="Arial"/>
          <w:szCs w:val="24"/>
          <w:lang w:eastAsia="pt-BR"/>
        </w:rPr>
        <w:t xml:space="preserve">2000, </w:t>
      </w:r>
      <w:r>
        <w:rPr>
          <w:rFonts w:ascii="Arial" w:eastAsia="Times New Roman" w:hAnsi="Arial" w:cs="Arial"/>
          <w:szCs w:val="24"/>
          <w:lang w:eastAsia="pt-BR"/>
        </w:rPr>
        <w:t xml:space="preserve">que “estabelece normas gerais e </w:t>
      </w:r>
      <w:r w:rsidRPr="00167618">
        <w:rPr>
          <w:rFonts w:ascii="Arial" w:eastAsia="Times New Roman" w:hAnsi="Arial" w:cs="Arial"/>
          <w:szCs w:val="24"/>
          <w:lang w:eastAsia="pt-BR"/>
        </w:rPr>
        <w:t xml:space="preserve">critérios básicos para a promoção </w:t>
      </w:r>
      <w:r>
        <w:rPr>
          <w:rFonts w:ascii="Arial" w:eastAsia="Times New Roman" w:hAnsi="Arial" w:cs="Arial"/>
          <w:szCs w:val="24"/>
          <w:lang w:eastAsia="pt-BR"/>
        </w:rPr>
        <w:t xml:space="preserve">da na medida acessibilidade das </w:t>
      </w:r>
      <w:r w:rsidRPr="00167618">
        <w:rPr>
          <w:rFonts w:ascii="Arial" w:eastAsia="Times New Roman" w:hAnsi="Arial" w:cs="Arial"/>
          <w:szCs w:val="24"/>
          <w:lang w:eastAsia="pt-BR"/>
        </w:rPr>
        <w:t xml:space="preserve">pessoas portadoras de deficiência </w:t>
      </w:r>
      <w:r>
        <w:rPr>
          <w:rFonts w:ascii="Arial" w:eastAsia="Times New Roman" w:hAnsi="Arial" w:cs="Arial"/>
          <w:szCs w:val="24"/>
          <w:lang w:eastAsia="pt-BR"/>
        </w:rPr>
        <w:t xml:space="preserve">ou com mobilidade reduzida e dá </w:t>
      </w:r>
      <w:r w:rsidRPr="00167618">
        <w:rPr>
          <w:rFonts w:ascii="Arial" w:eastAsia="Times New Roman" w:hAnsi="Arial" w:cs="Arial"/>
          <w:szCs w:val="24"/>
          <w:lang w:eastAsia="pt-BR"/>
        </w:rPr>
        <w:t>outras providências</w:t>
      </w:r>
      <w:r>
        <w:rPr>
          <w:rFonts w:ascii="Arial" w:eastAsia="Times New Roman" w:hAnsi="Arial" w:cs="Arial"/>
          <w:szCs w:val="24"/>
          <w:lang w:eastAsia="pt-BR"/>
        </w:rPr>
        <w:t xml:space="preserve">”, </w:t>
      </w:r>
      <w:r w:rsidRPr="00167618">
        <w:rPr>
          <w:rFonts w:ascii="Arial" w:eastAsia="Times New Roman" w:hAnsi="Arial" w:cs="Arial"/>
          <w:szCs w:val="24"/>
          <w:lang w:eastAsia="pt-BR"/>
        </w:rPr>
        <w:t>na med</w:t>
      </w:r>
      <w:r>
        <w:rPr>
          <w:rFonts w:ascii="Arial" w:eastAsia="Times New Roman" w:hAnsi="Arial" w:cs="Arial"/>
          <w:szCs w:val="24"/>
          <w:lang w:eastAsia="pt-BR"/>
        </w:rPr>
        <w:t xml:space="preserve">ida em que o tema é passível de </w:t>
      </w:r>
      <w:r w:rsidRPr="00167618">
        <w:rPr>
          <w:rFonts w:ascii="Arial" w:eastAsia="Times New Roman" w:hAnsi="Arial" w:cs="Arial"/>
          <w:szCs w:val="24"/>
          <w:lang w:eastAsia="pt-BR"/>
        </w:rPr>
        <w:t>suplementação, decorrente da dis</w:t>
      </w:r>
      <w:r>
        <w:rPr>
          <w:rFonts w:ascii="Arial" w:eastAsia="Times New Roman" w:hAnsi="Arial" w:cs="Arial"/>
          <w:szCs w:val="24"/>
          <w:lang w:eastAsia="pt-BR"/>
        </w:rPr>
        <w:t>posição contida nos artigos 23</w:t>
      </w:r>
      <w:r w:rsidRPr="00167618">
        <w:rPr>
          <w:rFonts w:ascii="Arial" w:eastAsia="Times New Roman" w:hAnsi="Arial" w:cs="Arial"/>
          <w:szCs w:val="24"/>
          <w:lang w:eastAsia="pt-BR"/>
        </w:rPr>
        <w:t>, inciso II,</w:t>
      </w:r>
      <w:r>
        <w:rPr>
          <w:rFonts w:ascii="Arial" w:eastAsia="Times New Roman" w:hAnsi="Arial" w:cs="Arial"/>
          <w:szCs w:val="24"/>
          <w:lang w:eastAsia="pt-BR"/>
        </w:rPr>
        <w:t xml:space="preserve"> 24, XIV, e 30, </w:t>
      </w:r>
      <w:r w:rsidRPr="00167618">
        <w:rPr>
          <w:rFonts w:ascii="Arial" w:eastAsia="Times New Roman" w:hAnsi="Arial" w:cs="Arial"/>
          <w:szCs w:val="24"/>
          <w:lang w:eastAsia="pt-BR"/>
        </w:rPr>
        <w:t>incisos I e II</w:t>
      </w:r>
      <w:r>
        <w:rPr>
          <w:rFonts w:ascii="Arial" w:eastAsia="Times New Roman" w:hAnsi="Arial" w:cs="Arial"/>
          <w:szCs w:val="24"/>
          <w:lang w:eastAsia="pt-BR"/>
        </w:rPr>
        <w:t>,</w:t>
      </w:r>
      <w:r w:rsidRPr="00167618">
        <w:rPr>
          <w:rFonts w:ascii="Arial" w:eastAsia="Times New Roman" w:hAnsi="Arial" w:cs="Arial"/>
          <w:szCs w:val="24"/>
          <w:lang w:eastAsia="pt-BR"/>
        </w:rPr>
        <w:t xml:space="preserve"> da Constituição Federal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167618" w:rsidRDefault="00167618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67618" w:rsidRDefault="00167618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De mais a mais, t</w:t>
      </w:r>
      <w:r w:rsidRPr="00167618">
        <w:rPr>
          <w:rFonts w:ascii="Arial" w:eastAsia="Times New Roman" w:hAnsi="Arial" w:cs="Arial"/>
          <w:szCs w:val="24"/>
          <w:lang w:eastAsia="pt-BR"/>
        </w:rPr>
        <w:t>rata-se de propositura que contém matéria a qual irradia hialina atividade de polícia administrativa municipal, sendo cediço a competência do Município e da edilidade para dela dispor, ancorando-se no arcabouço legal e jurisprudencial vigentes.</w:t>
      </w:r>
    </w:p>
    <w:p w:rsidR="00167618" w:rsidRDefault="00167618" w:rsidP="0016761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67618" w:rsidRDefault="00167618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384759">
        <w:rPr>
          <w:rFonts w:ascii="Arial" w:eastAsia="Times New Roman" w:hAnsi="Arial" w:cs="Arial"/>
          <w:szCs w:val="24"/>
          <w:lang w:eastAsia="pt-BR"/>
        </w:rPr>
        <w:t xml:space="preserve">Por fim, o projeto não gera diretamente </w:t>
      </w:r>
      <w:r w:rsidR="00384759" w:rsidRPr="00384759">
        <w:rPr>
          <w:rFonts w:ascii="Arial" w:eastAsia="Times New Roman" w:hAnsi="Arial" w:cs="Arial"/>
          <w:szCs w:val="24"/>
          <w:lang w:eastAsia="pt-BR"/>
        </w:rPr>
        <w:t xml:space="preserve">qualquer despesa para a Administração </w:t>
      </w:r>
      <w:r w:rsidR="00384759">
        <w:rPr>
          <w:rFonts w:ascii="Arial" w:eastAsia="Times New Roman" w:hAnsi="Arial" w:cs="Arial"/>
          <w:szCs w:val="24"/>
          <w:lang w:eastAsia="pt-BR"/>
        </w:rPr>
        <w:t xml:space="preserve">Pública, mas apenas o exercício </w:t>
      </w:r>
      <w:r w:rsidR="00384759" w:rsidRPr="00384759">
        <w:rPr>
          <w:rFonts w:ascii="Arial" w:eastAsia="Times New Roman" w:hAnsi="Arial" w:cs="Arial"/>
          <w:szCs w:val="24"/>
          <w:lang w:eastAsia="pt-BR"/>
        </w:rPr>
        <w:t>de atividade fiscalizadora característica do Executivo.</w:t>
      </w:r>
    </w:p>
    <w:p w:rsid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i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i/>
          <w:szCs w:val="24"/>
          <w:lang w:eastAsia="pt-BR"/>
        </w:rPr>
        <w:t xml:space="preserve">Ipso facto, </w:t>
      </w:r>
      <w:r>
        <w:rPr>
          <w:rFonts w:ascii="Arial" w:eastAsia="Times New Roman" w:hAnsi="Arial" w:cs="Arial"/>
          <w:szCs w:val="24"/>
          <w:lang w:eastAsia="pt-BR"/>
        </w:rPr>
        <w:t xml:space="preserve">o Tribunal Bandeirante, iterativamente, reafirma o entendimento aqui exarado, </w:t>
      </w:r>
      <w:r>
        <w:rPr>
          <w:rFonts w:ascii="Arial" w:eastAsia="Times New Roman" w:hAnsi="Arial" w:cs="Arial"/>
          <w:i/>
          <w:szCs w:val="24"/>
          <w:lang w:eastAsia="pt-BR"/>
        </w:rPr>
        <w:t>verbis:</w:t>
      </w:r>
    </w:p>
    <w:p w:rsid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i/>
          <w:szCs w:val="24"/>
          <w:lang w:eastAsia="pt-BR"/>
        </w:rPr>
      </w:pPr>
    </w:p>
    <w:p w:rsidR="00384759" w:rsidRP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b/>
          <w:i/>
          <w:sz w:val="22"/>
          <w:lang w:eastAsia="pt-BR"/>
        </w:rPr>
      </w:pPr>
      <w:r w:rsidRPr="00384759">
        <w:rPr>
          <w:rFonts w:ascii="Arial" w:eastAsia="Times New Roman" w:hAnsi="Arial" w:cs="Arial"/>
          <w:sz w:val="22"/>
          <w:lang w:eastAsia="pt-BR"/>
        </w:rPr>
        <w:lastRenderedPageBreak/>
        <w:t xml:space="preserve">“AÇÃO DIRETA DE INCONSTITUCIONALIDADE - MUNICÍPIO DE HORTOLÂNDIA - </w:t>
      </w:r>
      <w:r w:rsidRPr="00384759">
        <w:rPr>
          <w:rFonts w:ascii="Arial" w:eastAsia="Times New Roman" w:hAnsi="Arial" w:cs="Arial"/>
          <w:b/>
          <w:sz w:val="22"/>
          <w:lang w:eastAsia="pt-BR"/>
        </w:rPr>
        <w:t xml:space="preserve">LEI MUNICIPAL Nº 3.204/16.12.2015, DE </w:t>
      </w:r>
      <w:r w:rsidRPr="00384759">
        <w:rPr>
          <w:rFonts w:ascii="Arial" w:eastAsia="Times New Roman" w:hAnsi="Arial" w:cs="Arial"/>
          <w:b/>
          <w:sz w:val="22"/>
          <w:u w:val="single"/>
          <w:lang w:eastAsia="pt-BR"/>
        </w:rPr>
        <w:t>INICIATIVA PARLAMENTAR</w:t>
      </w:r>
      <w:r w:rsidRPr="00384759">
        <w:rPr>
          <w:rFonts w:ascii="Arial" w:eastAsia="Times New Roman" w:hAnsi="Arial" w:cs="Arial"/>
          <w:b/>
          <w:sz w:val="22"/>
          <w:lang w:eastAsia="pt-BR"/>
        </w:rPr>
        <w:t xml:space="preserve">, QUE "DISPÕE SOBRE A OBRIGATORIEDADE DE CADEIRAS DE RODAS EM ESTABELECIMENTOS COMERCIAIS DE GRANDE PORTE, </w:t>
      </w:r>
      <w:r w:rsidRPr="00384759">
        <w:rPr>
          <w:rFonts w:ascii="Arial" w:eastAsia="Times New Roman" w:hAnsi="Arial" w:cs="Arial"/>
          <w:b/>
          <w:sz w:val="22"/>
          <w:u w:val="single"/>
          <w:lang w:eastAsia="pt-BR"/>
        </w:rPr>
        <w:t>AGÊNCIAS E INSTITUIÇÕES BANCÁRIAS</w:t>
      </w:r>
      <w:r w:rsidRPr="00384759">
        <w:rPr>
          <w:rFonts w:ascii="Arial" w:eastAsia="Times New Roman" w:hAnsi="Arial" w:cs="Arial"/>
          <w:b/>
          <w:sz w:val="22"/>
          <w:lang w:eastAsia="pt-BR"/>
        </w:rPr>
        <w:t>, INSTALADOS NO MUNICÍPIO DE HORTOLÂNDIA"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 – NORMA QUE DISPÕE DE FORMA </w:t>
      </w:r>
      <w:r w:rsidRPr="00384759">
        <w:rPr>
          <w:rFonts w:ascii="Arial" w:eastAsia="Times New Roman" w:hAnsi="Arial" w:cs="Arial"/>
          <w:b/>
          <w:sz w:val="22"/>
          <w:lang w:eastAsia="pt-BR"/>
        </w:rPr>
        <w:t xml:space="preserve">SUPLEMENTAR SOBRE PROTEÇÃO E GARANTIA DE DIREITOS DE PORTADORES DE DEFICIÊNCIA FÍSICA E MOBILIDADE REDUZIDA, DIRIGIDAS EXCLUSIVAMENTE AOS ESTABELECIMENTOS DE PARTICULARES 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- COMPETÊNCIA COMUM DA UNIÃO, DOS ESTADOS, DISTRITO FEDERAL E DOS MUNICÍPIOS PARA CUIDAR DA SAÚDE E ASSISTÊNCIA PÚBLICA, </w:t>
      </w:r>
      <w:r w:rsidRPr="00384759">
        <w:rPr>
          <w:rFonts w:ascii="Arial" w:eastAsia="Times New Roman" w:hAnsi="Arial" w:cs="Arial"/>
          <w:b/>
          <w:sz w:val="22"/>
          <w:lang w:eastAsia="pt-BR"/>
        </w:rPr>
        <w:t>PROTEÇÃO E GARANTIA DAS PESSOAS PORTADORAS DE DEFICIÊNCIA (ART. 23, II, DA CONSTITUIÇÃO FEDERAL) – MATÉRIA DE INTERESSE LOCAL (ART. 30 I E II, DA CF/88) –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 VIOLAÇÃO AOS PRINCIPIOS CONSTITUCIONAIS INVOCADOS – INOCORRÊNCIA – IMPROCEDÊNCIA DA AÇÃO.” (TJSP;  Direta de Inconstitucionalidade 2225974-65.2016.8.26.0000; Relator (a): João Negrini Filho; Órgão Julgador: Órgão Especial; Tribunal de Justiça de São Paulo - N/A; Data do Julgamento: 10/05/2017; Data de Registro: 19/05/2017)</w:t>
      </w:r>
      <w:r>
        <w:rPr>
          <w:rFonts w:ascii="Arial" w:eastAsia="Times New Roman" w:hAnsi="Arial" w:cs="Arial"/>
          <w:sz w:val="22"/>
          <w:lang w:eastAsia="pt-BR"/>
        </w:rPr>
        <w:t xml:space="preserve"> </w:t>
      </w:r>
      <w:r>
        <w:rPr>
          <w:rFonts w:ascii="Arial" w:eastAsia="Times New Roman" w:hAnsi="Arial" w:cs="Arial"/>
          <w:b/>
          <w:i/>
          <w:sz w:val="22"/>
          <w:lang w:eastAsia="pt-BR"/>
        </w:rPr>
        <w:t>Grifei</w:t>
      </w:r>
    </w:p>
    <w:p w:rsidR="00384759" w:rsidRP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sz w:val="22"/>
          <w:lang w:eastAsia="pt-BR"/>
        </w:rPr>
      </w:pPr>
    </w:p>
    <w:p w:rsidR="00384759" w:rsidRP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2268"/>
        <w:jc w:val="both"/>
        <w:rPr>
          <w:rFonts w:ascii="Arial" w:eastAsia="Times New Roman" w:hAnsi="Arial" w:cs="Arial"/>
          <w:b/>
          <w:i/>
          <w:szCs w:val="24"/>
          <w:lang w:eastAsia="pt-BR"/>
        </w:rPr>
      </w:pPr>
      <w:r w:rsidRPr="00384759">
        <w:rPr>
          <w:rFonts w:ascii="Arial" w:eastAsia="Times New Roman" w:hAnsi="Arial" w:cs="Arial"/>
          <w:sz w:val="22"/>
          <w:lang w:eastAsia="pt-BR"/>
        </w:rPr>
        <w:t xml:space="preserve">“AÇÃO DIRETA DE INCONSTITUCIONALIDADE - Lei n° 4.518, de 4 de outubro de 2011 do Município de Suzano que </w:t>
      </w:r>
      <w:r w:rsidRPr="00384759">
        <w:rPr>
          <w:rFonts w:ascii="Arial" w:eastAsia="Times New Roman" w:hAnsi="Arial" w:cs="Arial"/>
          <w:b/>
          <w:sz w:val="22"/>
          <w:u w:val="single"/>
          <w:lang w:eastAsia="pt-BR"/>
        </w:rPr>
        <w:t>instituiu a obrigação de fornecimento de cadeiras de rodas pelas agências bancárias locais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 - </w:t>
      </w:r>
      <w:r w:rsidRPr="00384759">
        <w:rPr>
          <w:rFonts w:ascii="Arial" w:eastAsia="Times New Roman" w:hAnsi="Arial" w:cs="Arial"/>
          <w:b/>
          <w:sz w:val="22"/>
          <w:lang w:eastAsia="pt-BR"/>
        </w:rPr>
        <w:t>Matéria de interesse local e também atinente à proteção e garantia de direitos de portadores de deficiência física e pessoas com mobilidade reduzida, em relação à qual era lícito ao Município legislar, nos exatos limites da competência definida nos artigos 23, inciso II, e 30, inciso I, da CF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 - Inocorrência, outrossim, de vício de iniciativa do projeto de lei pelo Legislativo, haja vista que </w:t>
      </w:r>
      <w:r w:rsidRPr="00384759">
        <w:rPr>
          <w:rFonts w:ascii="Arial" w:eastAsia="Times New Roman" w:hAnsi="Arial" w:cs="Arial"/>
          <w:b/>
          <w:sz w:val="22"/>
          <w:u w:val="single"/>
          <w:lang w:eastAsia="pt-BR"/>
        </w:rPr>
        <w:t>a norma editada não regula questão estritamente administrativa, afeta ao Chefe do Poder Executivo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, delimitada pelos artigos 24, §2°, 47, incisos XVII e XVIII, 166 e 174 da CE, aplicáveis ao ente municipal, por expressa imposição da norma contida no artigo 144 daquela mesma Carta - </w:t>
      </w:r>
      <w:r w:rsidRPr="00384759">
        <w:rPr>
          <w:rFonts w:ascii="Arial" w:eastAsia="Times New Roman" w:hAnsi="Arial" w:cs="Arial"/>
          <w:b/>
          <w:sz w:val="22"/>
          <w:lang w:eastAsia="pt-BR"/>
        </w:rPr>
        <w:t xml:space="preserve">Previsão legal, na verdade, que apenas impõe obrigações a particulares e não implica no aumento de despesa do Município, uma vez que o </w:t>
      </w:r>
      <w:r w:rsidRPr="00384759">
        <w:rPr>
          <w:rFonts w:ascii="Arial" w:eastAsia="Times New Roman" w:hAnsi="Arial" w:cs="Arial"/>
          <w:b/>
          <w:sz w:val="22"/>
          <w:u w:val="single"/>
          <w:lang w:eastAsia="pt-BR"/>
        </w:rPr>
        <w:t>dever de fiscalização do cumprimento das normas é conatural aos atos normativos e não tem efeito de gerar gastos extraordinários</w:t>
      </w:r>
      <w:r w:rsidRPr="00384759">
        <w:rPr>
          <w:rFonts w:ascii="Arial" w:eastAsia="Times New Roman" w:hAnsi="Arial" w:cs="Arial"/>
          <w:b/>
          <w:sz w:val="22"/>
          <w:lang w:eastAsia="pt-BR"/>
        </w:rPr>
        <w:t xml:space="preserve"> - Precedentes desta Corte</w:t>
      </w:r>
      <w:r w:rsidRPr="00384759">
        <w:rPr>
          <w:rFonts w:ascii="Arial" w:eastAsia="Times New Roman" w:hAnsi="Arial" w:cs="Arial"/>
          <w:sz w:val="22"/>
          <w:lang w:eastAsia="pt-BR"/>
        </w:rPr>
        <w:t xml:space="preserve"> - Ação Direta de Inconstitucionalidade julgada improcedente.” (TJSP;  Direta de Inconstitucionalidade 0006249-50.2012.8.26.0000; Relator (a): Paulo Dimas Mascaretti; Órgão Julgador: Órgão Especial; Tribunal de Justiça de São Paulo - N/A; Data do Julgamento: 12/09/2012; Data de Registro: 02/10/2012)</w:t>
      </w:r>
      <w:r>
        <w:rPr>
          <w:rFonts w:ascii="Arial" w:eastAsia="Times New Roman" w:hAnsi="Arial" w:cs="Arial"/>
          <w:sz w:val="22"/>
          <w:lang w:eastAsia="pt-BR"/>
        </w:rPr>
        <w:t xml:space="preserve"> </w:t>
      </w:r>
      <w:r>
        <w:rPr>
          <w:rFonts w:ascii="Arial" w:eastAsia="Times New Roman" w:hAnsi="Arial" w:cs="Arial"/>
          <w:b/>
          <w:i/>
          <w:sz w:val="22"/>
          <w:lang w:eastAsia="pt-BR"/>
        </w:rPr>
        <w:t>Grifei</w:t>
      </w:r>
    </w:p>
    <w:p w:rsidR="00384759" w:rsidRDefault="00384759" w:rsidP="0038475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67618" w:rsidRDefault="00384759" w:rsidP="00FF7AF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lastRenderedPageBreak/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Ante todo o exposto, a propositura é constitucional e legal, da mesma forma que é uma lei semelhante existente no arcabouço jurídico araraquarense: Lei nº 5.643, de 12 de julho de 2001.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8C362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8C362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210DA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legalidade!</w:t>
      </w:r>
    </w:p>
    <w:p w:rsidR="006848DA" w:rsidRPr="006848DA" w:rsidRDefault="008C362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8C362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8C3629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983EA6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8C3629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8C3629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8C3629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8C3629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8C3629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FF7AFC" w:rsidRDefault="009C5FA0" w:rsidP="00FF7AFC">
      <w:pPr>
        <w:autoSpaceDE w:val="0"/>
        <w:autoSpaceDN w:val="0"/>
        <w:spacing w:line="240" w:lineRule="auto"/>
        <w:ind w:firstLine="708"/>
        <w:jc w:val="center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FF7AF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9A" w:rsidRDefault="00E0289A">
      <w:pPr>
        <w:spacing w:line="240" w:lineRule="auto"/>
      </w:pPr>
      <w:r>
        <w:separator/>
      </w:r>
    </w:p>
  </w:endnote>
  <w:endnote w:type="continuationSeparator" w:id="0">
    <w:p w:rsidR="00E0289A" w:rsidRDefault="00E02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8C362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8C362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8C362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C3629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3EA6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3EA6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9A" w:rsidRDefault="00E0289A">
      <w:pPr>
        <w:spacing w:line="240" w:lineRule="auto"/>
      </w:pPr>
      <w:r>
        <w:separator/>
      </w:r>
    </w:p>
  </w:footnote>
  <w:footnote w:type="continuationSeparator" w:id="0">
    <w:p w:rsidR="00E0289A" w:rsidRDefault="00E02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C362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0214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C362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63A4E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FCD2A6" w:tentative="1">
      <w:start w:val="1"/>
      <w:numFmt w:val="lowerLetter"/>
      <w:lvlText w:val="%2."/>
      <w:lvlJc w:val="left"/>
      <w:pPr>
        <w:ind w:left="1440" w:hanging="360"/>
      </w:pPr>
    </w:lvl>
    <w:lvl w:ilvl="2" w:tplc="D75EEADE" w:tentative="1">
      <w:start w:val="1"/>
      <w:numFmt w:val="lowerRoman"/>
      <w:lvlText w:val="%3."/>
      <w:lvlJc w:val="right"/>
      <w:pPr>
        <w:ind w:left="2160" w:hanging="180"/>
      </w:pPr>
    </w:lvl>
    <w:lvl w:ilvl="3" w:tplc="C36EC6D6" w:tentative="1">
      <w:start w:val="1"/>
      <w:numFmt w:val="decimal"/>
      <w:lvlText w:val="%4."/>
      <w:lvlJc w:val="left"/>
      <w:pPr>
        <w:ind w:left="2880" w:hanging="360"/>
      </w:pPr>
    </w:lvl>
    <w:lvl w:ilvl="4" w:tplc="B3F2E720" w:tentative="1">
      <w:start w:val="1"/>
      <w:numFmt w:val="lowerLetter"/>
      <w:lvlText w:val="%5."/>
      <w:lvlJc w:val="left"/>
      <w:pPr>
        <w:ind w:left="3600" w:hanging="360"/>
      </w:pPr>
    </w:lvl>
    <w:lvl w:ilvl="5" w:tplc="6B563256" w:tentative="1">
      <w:start w:val="1"/>
      <w:numFmt w:val="lowerRoman"/>
      <w:lvlText w:val="%6."/>
      <w:lvlJc w:val="right"/>
      <w:pPr>
        <w:ind w:left="4320" w:hanging="180"/>
      </w:pPr>
    </w:lvl>
    <w:lvl w:ilvl="6" w:tplc="52EEE02E" w:tentative="1">
      <w:start w:val="1"/>
      <w:numFmt w:val="decimal"/>
      <w:lvlText w:val="%7."/>
      <w:lvlJc w:val="left"/>
      <w:pPr>
        <w:ind w:left="5040" w:hanging="360"/>
      </w:pPr>
    </w:lvl>
    <w:lvl w:ilvl="7" w:tplc="D4A43430" w:tentative="1">
      <w:start w:val="1"/>
      <w:numFmt w:val="lowerLetter"/>
      <w:lvlText w:val="%8."/>
      <w:lvlJc w:val="left"/>
      <w:pPr>
        <w:ind w:left="5760" w:hanging="360"/>
      </w:pPr>
    </w:lvl>
    <w:lvl w:ilvl="8" w:tplc="804C4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B40077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C8E3CCE" w:tentative="1">
      <w:start w:val="1"/>
      <w:numFmt w:val="lowerLetter"/>
      <w:lvlText w:val="%2."/>
      <w:lvlJc w:val="left"/>
      <w:pPr>
        <w:ind w:left="1130" w:hanging="360"/>
      </w:pPr>
    </w:lvl>
    <w:lvl w:ilvl="2" w:tplc="0B422246" w:tentative="1">
      <w:start w:val="1"/>
      <w:numFmt w:val="lowerRoman"/>
      <w:lvlText w:val="%3."/>
      <w:lvlJc w:val="right"/>
      <w:pPr>
        <w:ind w:left="1850" w:hanging="180"/>
      </w:pPr>
    </w:lvl>
    <w:lvl w:ilvl="3" w:tplc="25A6A03E" w:tentative="1">
      <w:start w:val="1"/>
      <w:numFmt w:val="decimal"/>
      <w:lvlText w:val="%4."/>
      <w:lvlJc w:val="left"/>
      <w:pPr>
        <w:ind w:left="2570" w:hanging="360"/>
      </w:pPr>
    </w:lvl>
    <w:lvl w:ilvl="4" w:tplc="02F03118" w:tentative="1">
      <w:start w:val="1"/>
      <w:numFmt w:val="lowerLetter"/>
      <w:lvlText w:val="%5."/>
      <w:lvlJc w:val="left"/>
      <w:pPr>
        <w:ind w:left="3290" w:hanging="360"/>
      </w:pPr>
    </w:lvl>
    <w:lvl w:ilvl="5" w:tplc="F43AF648" w:tentative="1">
      <w:start w:val="1"/>
      <w:numFmt w:val="lowerRoman"/>
      <w:lvlText w:val="%6."/>
      <w:lvlJc w:val="right"/>
      <w:pPr>
        <w:ind w:left="4010" w:hanging="180"/>
      </w:pPr>
    </w:lvl>
    <w:lvl w:ilvl="6" w:tplc="E54AF076" w:tentative="1">
      <w:start w:val="1"/>
      <w:numFmt w:val="decimal"/>
      <w:lvlText w:val="%7."/>
      <w:lvlJc w:val="left"/>
      <w:pPr>
        <w:ind w:left="4730" w:hanging="360"/>
      </w:pPr>
    </w:lvl>
    <w:lvl w:ilvl="7" w:tplc="A9661ED2" w:tentative="1">
      <w:start w:val="1"/>
      <w:numFmt w:val="lowerLetter"/>
      <w:lvlText w:val="%8."/>
      <w:lvlJc w:val="left"/>
      <w:pPr>
        <w:ind w:left="5450" w:hanging="360"/>
      </w:pPr>
    </w:lvl>
    <w:lvl w:ilvl="8" w:tplc="E96A402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ACAEFBE">
      <w:start w:val="1"/>
      <w:numFmt w:val="decimal"/>
      <w:lvlText w:val="%1."/>
      <w:lvlJc w:val="left"/>
      <w:pPr>
        <w:ind w:left="770" w:hanging="360"/>
      </w:pPr>
    </w:lvl>
    <w:lvl w:ilvl="1" w:tplc="CA8E2AC6" w:tentative="1">
      <w:start w:val="1"/>
      <w:numFmt w:val="lowerLetter"/>
      <w:lvlText w:val="%2."/>
      <w:lvlJc w:val="left"/>
      <w:pPr>
        <w:ind w:left="1490" w:hanging="360"/>
      </w:pPr>
    </w:lvl>
    <w:lvl w:ilvl="2" w:tplc="64FCA2DA" w:tentative="1">
      <w:start w:val="1"/>
      <w:numFmt w:val="lowerRoman"/>
      <w:lvlText w:val="%3."/>
      <w:lvlJc w:val="right"/>
      <w:pPr>
        <w:ind w:left="2210" w:hanging="180"/>
      </w:pPr>
    </w:lvl>
    <w:lvl w:ilvl="3" w:tplc="000AE4A4" w:tentative="1">
      <w:start w:val="1"/>
      <w:numFmt w:val="decimal"/>
      <w:lvlText w:val="%4."/>
      <w:lvlJc w:val="left"/>
      <w:pPr>
        <w:ind w:left="2930" w:hanging="360"/>
      </w:pPr>
    </w:lvl>
    <w:lvl w:ilvl="4" w:tplc="09124646" w:tentative="1">
      <w:start w:val="1"/>
      <w:numFmt w:val="lowerLetter"/>
      <w:lvlText w:val="%5."/>
      <w:lvlJc w:val="left"/>
      <w:pPr>
        <w:ind w:left="3650" w:hanging="360"/>
      </w:pPr>
    </w:lvl>
    <w:lvl w:ilvl="5" w:tplc="7E169250" w:tentative="1">
      <w:start w:val="1"/>
      <w:numFmt w:val="lowerRoman"/>
      <w:lvlText w:val="%6."/>
      <w:lvlJc w:val="right"/>
      <w:pPr>
        <w:ind w:left="4370" w:hanging="180"/>
      </w:pPr>
    </w:lvl>
    <w:lvl w:ilvl="6" w:tplc="995A87BC" w:tentative="1">
      <w:start w:val="1"/>
      <w:numFmt w:val="decimal"/>
      <w:lvlText w:val="%7."/>
      <w:lvlJc w:val="left"/>
      <w:pPr>
        <w:ind w:left="5090" w:hanging="360"/>
      </w:pPr>
    </w:lvl>
    <w:lvl w:ilvl="7" w:tplc="D17C4370" w:tentative="1">
      <w:start w:val="1"/>
      <w:numFmt w:val="lowerLetter"/>
      <w:lvlText w:val="%8."/>
      <w:lvlJc w:val="left"/>
      <w:pPr>
        <w:ind w:left="5810" w:hanging="360"/>
      </w:pPr>
    </w:lvl>
    <w:lvl w:ilvl="8" w:tplc="72D2607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67618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0DA3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475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3629"/>
    <w:rsid w:val="008C5E36"/>
    <w:rsid w:val="008D0FE4"/>
    <w:rsid w:val="008E32A2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3EA6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289A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1B598-A9C7-4A20-8818-6CCFA487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2019-01-29T17:14:00Z</dcterms:created>
  <dcterms:modified xsi:type="dcterms:W3CDTF">2021-07-22T19:44:00Z</dcterms:modified>
</cp:coreProperties>
</file>