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31775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39F0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>
        <w:rPr>
          <w:rFonts w:ascii="Calibri" w:eastAsia="Arial Unicode MS" w:hAnsi="Calibri" w:cs="Calibri"/>
          <w:b/>
          <w:sz w:val="24"/>
          <w:szCs w:val="24"/>
        </w:rPr>
        <w:t>0</w:t>
      </w:r>
      <w:r w:rsidR="008D49EA">
        <w:rPr>
          <w:rFonts w:ascii="Calibri" w:eastAsia="Arial Unicode MS" w:hAnsi="Calibri" w:cs="Calibri"/>
          <w:b/>
          <w:sz w:val="24"/>
          <w:szCs w:val="24"/>
        </w:rPr>
        <w:t>200</w:t>
      </w:r>
      <w:bookmarkStart w:id="0" w:name="_GoBack"/>
      <w:bookmarkEnd w:id="0"/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sz w:val="24"/>
          <w:szCs w:val="24"/>
        </w:rPr>
        <w:t>3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537FC7" w:rsidRDefault="00CC04DE" w:rsidP="00537FC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2C0FD8">
        <w:rPr>
          <w:rFonts w:asciiTheme="minorHAnsi" w:hAnsiTheme="minorHAnsi" w:cs="Calibri"/>
          <w:color w:val="000000"/>
          <w:sz w:val="24"/>
          <w:szCs w:val="24"/>
        </w:rPr>
        <w:t>s</w:t>
      </w:r>
      <w:r w:rsidR="002C0FD8" w:rsidRPr="002C0FD8">
        <w:rPr>
          <w:rFonts w:asciiTheme="minorHAnsi" w:hAnsiTheme="minorHAnsi" w:cs="Calibri"/>
          <w:color w:val="000000"/>
          <w:sz w:val="24"/>
          <w:szCs w:val="24"/>
        </w:rPr>
        <w:t xml:space="preserve">uspende </w:t>
      </w:r>
      <w:r w:rsidR="00D26754" w:rsidRPr="00D26754">
        <w:rPr>
          <w:rFonts w:asciiTheme="minorHAnsi" w:hAnsiTheme="minorHAnsi" w:cs="Calibri"/>
          <w:color w:val="000000"/>
          <w:sz w:val="24"/>
          <w:szCs w:val="24"/>
        </w:rPr>
        <w:t>os prazos de validade dos concursos públicos, bem como dos processos seletivos, homologados e vigentes no âmbito da Administração Pública Municipal Direta ou Indireta, durante a vigência de estado de calamidade pública.</w:t>
      </w:r>
    </w:p>
    <w:p w:rsidR="00882320" w:rsidRDefault="00882320" w:rsidP="00537FC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Inicialmente, destacamos que a presente propositura teve como impulso inicial a Indicação nº 2482/2020, de autoria do Vereador Roger Mendes. </w:t>
      </w:r>
    </w:p>
    <w:p w:rsidR="002C0FD8" w:rsidRDefault="00882320" w:rsidP="00537FC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No ponto, ela se justifica </w:t>
      </w:r>
      <w:r w:rsidR="00D26754">
        <w:rPr>
          <w:rFonts w:asciiTheme="minorHAnsi" w:hAnsiTheme="minorHAnsi" w:cs="Calibri"/>
          <w:color w:val="000000"/>
          <w:sz w:val="24"/>
          <w:szCs w:val="24"/>
        </w:rPr>
        <w:t>na medida em que, com o advento da Lei Complementar Federal nº 173, de 27 de maio de 2020, impôs aos entes públicos uma série de requisitos relativos à admissão de pessoal</w:t>
      </w:r>
      <w:r w:rsidR="00B86788">
        <w:rPr>
          <w:rFonts w:asciiTheme="minorHAnsi" w:hAnsiTheme="minorHAnsi" w:cs="Calibri"/>
          <w:color w:val="000000"/>
          <w:sz w:val="24"/>
          <w:szCs w:val="24"/>
        </w:rPr>
        <w:t xml:space="preserve"> – obstaculizando, sobremaneira, o planejamento da Administração Municipal no que tange à contratação de empregados públicos, sobretudo para os equipamentos municipais recentemente inaugurados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C87636">
        <w:rPr>
          <w:rFonts w:asciiTheme="minorHAnsi" w:hAnsiTheme="minorHAnsi" w:cs="Calibri"/>
          <w:color w:val="000000"/>
          <w:sz w:val="24"/>
          <w:szCs w:val="24"/>
        </w:rPr>
        <w:t xml:space="preserve">ou ampliados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– tais como: (i)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 xml:space="preserve">o CER “Lourdes </w:t>
      </w:r>
      <w:proofErr w:type="spellStart"/>
      <w:r w:rsidRPr="00882320">
        <w:rPr>
          <w:rFonts w:asciiTheme="minorHAnsi" w:hAnsiTheme="minorHAnsi" w:cs="Calibri"/>
          <w:color w:val="000000"/>
          <w:sz w:val="24"/>
          <w:szCs w:val="24"/>
        </w:rPr>
        <w:t>Apparecida</w:t>
      </w:r>
      <w:proofErr w:type="spellEnd"/>
      <w:r w:rsidRPr="00882320">
        <w:rPr>
          <w:rFonts w:asciiTheme="minorHAnsi" w:hAnsiTheme="minorHAnsi" w:cs="Calibri"/>
          <w:color w:val="000000"/>
          <w:sz w:val="24"/>
          <w:szCs w:val="24"/>
        </w:rPr>
        <w:t xml:space="preserve"> Carvalho Prada” (região do Valle Verde)</w:t>
      </w:r>
      <w:r>
        <w:rPr>
          <w:rFonts w:asciiTheme="minorHAnsi" w:hAnsiTheme="minorHAnsi" w:cs="Calibri"/>
          <w:color w:val="000000"/>
          <w:sz w:val="24"/>
          <w:szCs w:val="24"/>
        </w:rPr>
        <w:t>; (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 xml:space="preserve">o CER “Prof. José Ênio </w:t>
      </w:r>
      <w:proofErr w:type="spellStart"/>
      <w:r w:rsidRPr="00882320">
        <w:rPr>
          <w:rFonts w:asciiTheme="minorHAnsi" w:hAnsiTheme="minorHAnsi" w:cs="Calibri"/>
          <w:color w:val="000000"/>
          <w:sz w:val="24"/>
          <w:szCs w:val="24"/>
        </w:rPr>
        <w:t>Casalecchi</w:t>
      </w:r>
      <w:proofErr w:type="spellEnd"/>
      <w:r w:rsidRPr="00882320">
        <w:rPr>
          <w:rFonts w:asciiTheme="minorHAnsi" w:hAnsiTheme="minorHAnsi" w:cs="Calibri"/>
          <w:color w:val="000000"/>
          <w:sz w:val="24"/>
          <w:szCs w:val="24"/>
        </w:rPr>
        <w:t>” (Parque Residencial Laura Molina)</w:t>
      </w:r>
      <w:r>
        <w:rPr>
          <w:rFonts w:asciiTheme="minorHAnsi" w:hAnsiTheme="minorHAnsi" w:cs="Calibri"/>
          <w:color w:val="000000"/>
          <w:sz w:val="24"/>
          <w:szCs w:val="24"/>
        </w:rPr>
        <w:t>; (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>o CER “Prefeito Clodoaldo Medina” (Parque Residencial Jardim do Vale)</w:t>
      </w:r>
      <w:r>
        <w:rPr>
          <w:rFonts w:asciiTheme="minorHAnsi" w:hAnsiTheme="minorHAnsi" w:cs="Calibri"/>
          <w:color w:val="000000"/>
          <w:sz w:val="24"/>
          <w:szCs w:val="24"/>
        </w:rPr>
        <w:t>; (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iv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 xml:space="preserve">a EMEF “Vereador Edmilson de </w:t>
      </w:r>
      <w:proofErr w:type="spellStart"/>
      <w:r w:rsidRPr="00882320">
        <w:rPr>
          <w:rFonts w:asciiTheme="minorHAnsi" w:hAnsiTheme="minorHAnsi" w:cs="Calibri"/>
          <w:color w:val="000000"/>
          <w:sz w:val="24"/>
          <w:szCs w:val="24"/>
        </w:rPr>
        <w:t>Nola</w:t>
      </w:r>
      <w:proofErr w:type="spellEnd"/>
      <w:r w:rsidRPr="00882320">
        <w:rPr>
          <w:rFonts w:asciiTheme="minorHAnsi" w:hAnsiTheme="minorHAnsi" w:cs="Calibri"/>
          <w:color w:val="000000"/>
          <w:sz w:val="24"/>
          <w:szCs w:val="24"/>
        </w:rPr>
        <w:t xml:space="preserve"> Sá” (Parque Residencial Laura Molina)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; (v) a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>Unidade Básica de Saúde (ESF) “Nadir Damásio Claudino” (</w:t>
      </w:r>
      <w:proofErr w:type="spellStart"/>
      <w:r w:rsidRPr="00882320">
        <w:rPr>
          <w:rFonts w:asciiTheme="minorHAnsi" w:hAnsiTheme="minorHAnsi" w:cs="Calibri"/>
          <w:color w:val="000000"/>
          <w:sz w:val="24"/>
          <w:szCs w:val="24"/>
        </w:rPr>
        <w:t>Victório</w:t>
      </w:r>
      <w:proofErr w:type="spellEnd"/>
      <w:r w:rsidRPr="00882320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proofErr w:type="spellStart"/>
      <w:r w:rsidRPr="00882320">
        <w:rPr>
          <w:rFonts w:asciiTheme="minorHAnsi" w:hAnsiTheme="minorHAnsi" w:cs="Calibri"/>
          <w:color w:val="000000"/>
          <w:sz w:val="24"/>
          <w:szCs w:val="24"/>
        </w:rPr>
        <w:t>Santi</w:t>
      </w:r>
      <w:proofErr w:type="spellEnd"/>
      <w:r w:rsidRPr="00882320">
        <w:rPr>
          <w:rFonts w:asciiTheme="minorHAnsi" w:hAnsiTheme="minorHAnsi" w:cs="Calibri"/>
          <w:color w:val="000000"/>
          <w:sz w:val="24"/>
          <w:szCs w:val="24"/>
        </w:rPr>
        <w:t>)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; (vi) o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>Centro de Referência do Autismo “Aldo Pavão Jr” (Jardim Dom Pedro II)</w:t>
      </w:r>
      <w:r>
        <w:rPr>
          <w:rFonts w:asciiTheme="minorHAnsi" w:hAnsiTheme="minorHAnsi" w:cs="Calibri"/>
          <w:color w:val="000000"/>
          <w:sz w:val="24"/>
          <w:szCs w:val="24"/>
        </w:rPr>
        <w:t>; (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vii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os Pontos de Entrega de Entulhos e Volumosos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>da região do Valle Verde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e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>do Jardim Maria Luiza</w:t>
      </w:r>
      <w:r>
        <w:rPr>
          <w:rFonts w:asciiTheme="minorHAnsi" w:hAnsiTheme="minorHAnsi" w:cs="Calibri"/>
          <w:color w:val="000000"/>
          <w:sz w:val="24"/>
          <w:szCs w:val="24"/>
        </w:rPr>
        <w:t>; (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viii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>o Ponto de Entrega da Entulhos da Comunidade do Parque das Hortênsias</w:t>
      </w:r>
      <w:r>
        <w:rPr>
          <w:rFonts w:asciiTheme="minorHAnsi" w:hAnsiTheme="minorHAnsi" w:cs="Calibri"/>
          <w:color w:val="000000"/>
          <w:sz w:val="24"/>
          <w:szCs w:val="24"/>
        </w:rPr>
        <w:t>; (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ix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os Centros de Produção e 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Reservação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 xml:space="preserve">do </w:t>
      </w:r>
      <w:proofErr w:type="spellStart"/>
      <w:r w:rsidRPr="00882320">
        <w:rPr>
          <w:rFonts w:asciiTheme="minorHAnsi" w:hAnsiTheme="minorHAnsi" w:cs="Calibri"/>
          <w:color w:val="000000"/>
          <w:sz w:val="24"/>
          <w:szCs w:val="24"/>
        </w:rPr>
        <w:t>Victório</w:t>
      </w:r>
      <w:proofErr w:type="spellEnd"/>
      <w:r w:rsidRPr="00882320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proofErr w:type="spellStart"/>
      <w:r w:rsidRPr="00882320">
        <w:rPr>
          <w:rFonts w:asciiTheme="minorHAnsi" w:hAnsiTheme="minorHAnsi" w:cs="Calibri"/>
          <w:color w:val="000000"/>
          <w:sz w:val="24"/>
          <w:szCs w:val="24"/>
        </w:rPr>
        <w:t>Santi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>do Jardim São Rafael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e </w:t>
      </w:r>
      <w:r w:rsidRPr="00882320">
        <w:rPr>
          <w:rFonts w:asciiTheme="minorHAnsi" w:hAnsiTheme="minorHAnsi" w:cs="Calibri"/>
          <w:color w:val="000000"/>
          <w:sz w:val="24"/>
          <w:szCs w:val="24"/>
        </w:rPr>
        <w:t>do Jardim Roberto Selmi Dei</w:t>
      </w:r>
      <w:r w:rsidR="00C87636">
        <w:rPr>
          <w:rFonts w:asciiTheme="minorHAnsi" w:hAnsiTheme="minorHAnsi" w:cs="Calibri"/>
          <w:color w:val="000000"/>
          <w:sz w:val="24"/>
          <w:szCs w:val="24"/>
        </w:rPr>
        <w:t xml:space="preserve">; (x) </w:t>
      </w:r>
      <w:r w:rsidR="00C87636" w:rsidRPr="00C87636">
        <w:rPr>
          <w:rFonts w:asciiTheme="minorHAnsi" w:hAnsiTheme="minorHAnsi" w:cs="Calibri"/>
          <w:color w:val="000000"/>
          <w:sz w:val="24"/>
          <w:szCs w:val="24"/>
        </w:rPr>
        <w:t xml:space="preserve">Ginásio de Ginástica Artística “Gilberto </w:t>
      </w:r>
      <w:proofErr w:type="spellStart"/>
      <w:r w:rsidR="00C87636" w:rsidRPr="00C87636">
        <w:rPr>
          <w:rFonts w:asciiTheme="minorHAnsi" w:hAnsiTheme="minorHAnsi" w:cs="Calibri"/>
          <w:color w:val="000000"/>
          <w:sz w:val="24"/>
          <w:szCs w:val="24"/>
        </w:rPr>
        <w:t>Antonio</w:t>
      </w:r>
      <w:proofErr w:type="spellEnd"/>
      <w:r w:rsidR="00C87636" w:rsidRPr="00C87636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="00C87636" w:rsidRPr="00C87636">
        <w:rPr>
          <w:rFonts w:asciiTheme="minorHAnsi" w:hAnsiTheme="minorHAnsi" w:cs="Calibri"/>
          <w:color w:val="000000"/>
          <w:sz w:val="24"/>
          <w:szCs w:val="24"/>
        </w:rPr>
        <w:t>Maestrello</w:t>
      </w:r>
      <w:proofErr w:type="spellEnd"/>
      <w:r w:rsidR="00C87636" w:rsidRPr="00C87636">
        <w:rPr>
          <w:rFonts w:asciiTheme="minorHAnsi" w:hAnsiTheme="minorHAnsi" w:cs="Calibri"/>
          <w:color w:val="000000"/>
          <w:sz w:val="24"/>
          <w:szCs w:val="24"/>
        </w:rPr>
        <w:t>”</w:t>
      </w:r>
      <w:r w:rsidR="00C87636">
        <w:rPr>
          <w:rFonts w:asciiTheme="minorHAnsi" w:hAnsiTheme="minorHAnsi" w:cs="Calibri"/>
          <w:color w:val="000000"/>
          <w:sz w:val="24"/>
          <w:szCs w:val="24"/>
        </w:rPr>
        <w:t xml:space="preserve">; (xi)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C87636">
        <w:rPr>
          <w:rFonts w:asciiTheme="minorHAnsi" w:hAnsiTheme="minorHAnsi" w:cs="Calibri"/>
          <w:color w:val="000000"/>
          <w:sz w:val="24"/>
          <w:szCs w:val="24"/>
        </w:rPr>
        <w:t>a reforma e ampliação d</w:t>
      </w:r>
      <w:r w:rsidR="00C87636" w:rsidRPr="00C87636">
        <w:rPr>
          <w:rFonts w:asciiTheme="minorHAnsi" w:hAnsiTheme="minorHAnsi" w:cs="Calibri"/>
          <w:color w:val="000000"/>
          <w:sz w:val="24"/>
          <w:szCs w:val="24"/>
        </w:rPr>
        <w:t xml:space="preserve">o CER “Maria </w:t>
      </w:r>
      <w:proofErr w:type="spellStart"/>
      <w:r w:rsidR="00C87636" w:rsidRPr="00C87636">
        <w:rPr>
          <w:rFonts w:asciiTheme="minorHAnsi" w:hAnsiTheme="minorHAnsi" w:cs="Calibri"/>
          <w:color w:val="000000"/>
          <w:sz w:val="24"/>
          <w:szCs w:val="24"/>
        </w:rPr>
        <w:t>Enaura</w:t>
      </w:r>
      <w:proofErr w:type="spellEnd"/>
      <w:r w:rsidR="00C87636" w:rsidRPr="00C87636">
        <w:rPr>
          <w:rFonts w:asciiTheme="minorHAnsi" w:hAnsiTheme="minorHAnsi" w:cs="Calibri"/>
          <w:color w:val="000000"/>
          <w:sz w:val="24"/>
          <w:szCs w:val="24"/>
        </w:rPr>
        <w:t xml:space="preserve"> Malavolta Magalhães” (Vale do Sol)</w:t>
      </w:r>
      <w:r w:rsidR="00C87636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282A2C" w:rsidRDefault="00282A2C" w:rsidP="00537FC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Trata-se de medida imperativa e condizente com a situação excepcional que decorre da pandemia da COVID-19, que a uma só vez resguarda não só os interesses da Administração Pública, eis que a realização de concursos públicos se mostra morosa e custosa</w:t>
      </w:r>
      <w:r w:rsidR="00C87636">
        <w:rPr>
          <w:rFonts w:asciiTheme="minorHAnsi" w:hAnsiTheme="minorHAnsi" w:cs="Calibri"/>
          <w:color w:val="000000"/>
          <w:sz w:val="24"/>
          <w:szCs w:val="24"/>
        </w:rPr>
        <w:t xml:space="preserve"> – desde a fase de seu planejamento até a fase de sua execução –</w:t>
      </w:r>
      <w:r>
        <w:rPr>
          <w:rFonts w:asciiTheme="minorHAnsi" w:hAnsiTheme="minorHAnsi" w:cs="Calibri"/>
          <w:color w:val="000000"/>
          <w:sz w:val="24"/>
          <w:szCs w:val="24"/>
        </w:rPr>
        <w:t>, mas também os interesses dos candidatos que se inscreveram para tais concursos públicos.</w:t>
      </w:r>
    </w:p>
    <w:p w:rsidR="00CC04DE" w:rsidRPr="00BE4DA8" w:rsidRDefault="00CC04DE" w:rsidP="00537FC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537FC7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537FC7">
        <w:rPr>
          <w:rFonts w:ascii="Calibri" w:hAnsi="Calibri" w:cs="Calibri"/>
          <w:sz w:val="22"/>
          <w:szCs w:val="22"/>
        </w:rPr>
        <w:t>Suspende os prazos de validade dos concursos públicos</w:t>
      </w:r>
      <w:r w:rsidR="00D26754">
        <w:rPr>
          <w:rFonts w:ascii="Calibri" w:hAnsi="Calibri" w:cs="Calibri"/>
          <w:sz w:val="22"/>
          <w:szCs w:val="22"/>
        </w:rPr>
        <w:t>, bem como dos processos seletivos,</w:t>
      </w:r>
      <w:r w:rsidRPr="00537FC7">
        <w:rPr>
          <w:rFonts w:ascii="Calibri" w:hAnsi="Calibri" w:cs="Calibri"/>
          <w:sz w:val="22"/>
          <w:szCs w:val="22"/>
        </w:rPr>
        <w:t xml:space="preserve"> no âmbito da Administração Pública</w:t>
      </w:r>
      <w:r>
        <w:rPr>
          <w:rFonts w:ascii="Calibri" w:hAnsi="Calibri" w:cs="Calibri"/>
          <w:sz w:val="22"/>
          <w:szCs w:val="22"/>
        </w:rPr>
        <w:t xml:space="preserve"> Municipal Direta ou Indireta, </w:t>
      </w:r>
      <w:r w:rsidR="007C0553" w:rsidRPr="007C0553">
        <w:rPr>
          <w:rFonts w:ascii="Calibri" w:hAnsi="Calibri" w:cs="Calibri"/>
          <w:sz w:val="22"/>
          <w:szCs w:val="22"/>
        </w:rPr>
        <w:t>enquanto perdurarem os efeitos da Lei Complementar Federal nº 173, de 27 de maio de 2020</w:t>
      </w:r>
      <w:r w:rsidRPr="00537FC7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3E70DB" w:rsidRDefault="00CC04DE" w:rsidP="003E70D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3E70DB" w:rsidRPr="003E70DB">
        <w:rPr>
          <w:rFonts w:ascii="Calibri" w:hAnsi="Calibri"/>
          <w:sz w:val="24"/>
          <w:szCs w:val="24"/>
        </w:rPr>
        <w:t xml:space="preserve">Ficam excepcionalmente suspensos os prazos de validade dos concursos públicos, bem como dos processos seletivos, realizados pelos órgãos e entidades da Administração Pública Municipal Direta ou Indireta, enquanto perdurarem os efeitos da </w:t>
      </w:r>
      <w:r w:rsidR="003E70DB" w:rsidRPr="00537FC7">
        <w:rPr>
          <w:rFonts w:ascii="Calibri" w:hAnsi="Calibri"/>
          <w:sz w:val="24"/>
          <w:szCs w:val="24"/>
        </w:rPr>
        <w:t>Lei Complementar Federal nº 173, de 27 de maio de 2020.</w:t>
      </w:r>
    </w:p>
    <w:p w:rsidR="00537FC7" w:rsidRPr="00537FC7" w:rsidRDefault="00537FC7" w:rsidP="003E70D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537FC7">
        <w:rPr>
          <w:rFonts w:ascii="Calibri" w:hAnsi="Calibri"/>
          <w:sz w:val="24"/>
          <w:szCs w:val="24"/>
        </w:rPr>
        <w:t xml:space="preserve">§ 1º </w:t>
      </w:r>
      <w:r w:rsidR="003E70DB">
        <w:rPr>
          <w:rFonts w:ascii="Calibri" w:hAnsi="Calibri"/>
          <w:sz w:val="24"/>
          <w:szCs w:val="24"/>
        </w:rPr>
        <w:t xml:space="preserve">A suspensão de que trata o “caput” deste artigo tem por termo inicial a data da vigência da Lei Complementar nº 173, de 2020. </w:t>
      </w:r>
    </w:p>
    <w:p w:rsidR="00537FC7" w:rsidRPr="00537FC7" w:rsidRDefault="00537FC7" w:rsidP="00537F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537FC7">
        <w:rPr>
          <w:rFonts w:ascii="Calibri" w:hAnsi="Calibri"/>
          <w:sz w:val="24"/>
          <w:szCs w:val="24"/>
        </w:rPr>
        <w:t>§ 2º A suspensão dos prazos de validade dos concursos públicos não impede a nomeação de aprovados para reposições decorrentes de vacâncias de cargos públicos efetivos.</w:t>
      </w:r>
    </w:p>
    <w:p w:rsidR="00537FC7" w:rsidRPr="00537FC7" w:rsidRDefault="00537FC7" w:rsidP="00537F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537FC7">
        <w:rPr>
          <w:rFonts w:ascii="Calibri" w:hAnsi="Calibri"/>
          <w:sz w:val="24"/>
          <w:szCs w:val="24"/>
        </w:rPr>
        <w:t>§ 3º As nomeações que ocorram durante o período de suspensão não impedem a pror</w:t>
      </w:r>
      <w:r w:rsidR="00CC1D70">
        <w:rPr>
          <w:rFonts w:ascii="Calibri" w:hAnsi="Calibri"/>
          <w:sz w:val="24"/>
          <w:szCs w:val="24"/>
        </w:rPr>
        <w:t xml:space="preserve">rogação da validade do concurso de que trata esta lei. </w:t>
      </w:r>
    </w:p>
    <w:p w:rsidR="00537FC7" w:rsidRPr="00537FC7" w:rsidRDefault="00537FC7" w:rsidP="00537F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537FC7">
        <w:rPr>
          <w:rFonts w:ascii="Calibri" w:hAnsi="Calibri"/>
          <w:sz w:val="24"/>
          <w:szCs w:val="24"/>
        </w:rPr>
        <w:t xml:space="preserve">Art. 2º Cabe a cada órgão </w:t>
      </w:r>
      <w:r>
        <w:rPr>
          <w:rFonts w:ascii="Calibri" w:hAnsi="Calibri"/>
          <w:sz w:val="24"/>
          <w:szCs w:val="24"/>
        </w:rPr>
        <w:t xml:space="preserve">ou entidade da Administração Pública Municipal Direta ou Indireta </w:t>
      </w:r>
      <w:r w:rsidRPr="00537FC7">
        <w:rPr>
          <w:rFonts w:ascii="Calibri" w:hAnsi="Calibri"/>
          <w:sz w:val="24"/>
          <w:szCs w:val="24"/>
        </w:rPr>
        <w:t>promover a atualização dos editais de concursos públicos já homologados sob sua responsabilidade.</w:t>
      </w:r>
    </w:p>
    <w:p w:rsidR="00CC04DE" w:rsidRPr="00A82693" w:rsidRDefault="00537FC7" w:rsidP="00537FC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37FC7">
        <w:rPr>
          <w:rFonts w:ascii="Calibri" w:hAnsi="Calibri"/>
          <w:sz w:val="24"/>
          <w:szCs w:val="24"/>
        </w:rPr>
        <w:t xml:space="preserve">Art. 3º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D26754">
        <w:rPr>
          <w:rFonts w:ascii="Calibri" w:hAnsi="Calibri"/>
          <w:sz w:val="24"/>
          <w:szCs w:val="24"/>
        </w:rPr>
        <w:t>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D26754">
        <w:rPr>
          <w:rFonts w:ascii="Calibri" w:hAnsi="Calibri"/>
          <w:sz w:val="24"/>
          <w:szCs w:val="24"/>
        </w:rPr>
        <w:t xml:space="preserve">setembro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D26754" w:rsidRDefault="00D26754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8D49EA">
      <w:rPr>
        <w:rFonts w:ascii="Calibri" w:hAnsi="Calibri"/>
        <w:b/>
        <w:bCs/>
        <w:noProof/>
      </w:rPr>
      <w:t>1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8D49EA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2A2C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0FD8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820F7"/>
    <w:rsid w:val="00382997"/>
    <w:rsid w:val="00384C31"/>
    <w:rsid w:val="0038523B"/>
    <w:rsid w:val="003859C3"/>
    <w:rsid w:val="00390779"/>
    <w:rsid w:val="0039588A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E70DB"/>
    <w:rsid w:val="003F7D7B"/>
    <w:rsid w:val="004005F2"/>
    <w:rsid w:val="00401797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37FC7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0553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2320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D49E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6788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87636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1D70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6754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1775"/>
    <w:rsid w:val="00E35E71"/>
    <w:rsid w:val="00E40251"/>
    <w:rsid w:val="00E42A39"/>
    <w:rsid w:val="00E433BD"/>
    <w:rsid w:val="00E47004"/>
    <w:rsid w:val="00E543CA"/>
    <w:rsid w:val="00E57AF4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46EB1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  <w15:docId w15:val="{BC0D7EF2-069F-4C82-A048-E3D48B1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CD110-888A-4154-A30D-702029F8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12</cp:revision>
  <cp:lastPrinted>2020-08-25T13:40:00Z</cp:lastPrinted>
  <dcterms:created xsi:type="dcterms:W3CDTF">2020-08-26T17:48:00Z</dcterms:created>
  <dcterms:modified xsi:type="dcterms:W3CDTF">2020-08-28T19:50:00Z</dcterms:modified>
</cp:coreProperties>
</file>