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BE21C0">
        <w:rPr>
          <w:rFonts w:ascii="Calibri" w:hAnsi="Calibri" w:cs="Calibri"/>
          <w:b/>
          <w:sz w:val="24"/>
          <w:szCs w:val="24"/>
        </w:rPr>
        <w:t>172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BE21C0">
        <w:rPr>
          <w:rFonts w:ascii="Calibri" w:hAnsi="Calibri" w:cs="Calibri"/>
          <w:b/>
          <w:sz w:val="24"/>
          <w:szCs w:val="24"/>
        </w:rPr>
        <w:t>161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BE198F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3A3A7C" w:rsidRPr="003A3A7C" w:rsidRDefault="00BE21C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E21C0">
        <w:rPr>
          <w:rFonts w:ascii="Calibri" w:hAnsi="Calibri" w:cs="Calibri"/>
          <w:sz w:val="22"/>
          <w:szCs w:val="22"/>
        </w:rPr>
        <w:t>Ratifica a abertura, pelo Poder Executivo, do crédito adicional extraordinário previsto no Decreto nº 12.312, de 9 de julho de 2020, e dá outras providências.</w:t>
      </w:r>
    </w:p>
    <w:p w:rsidR="003A3A7C" w:rsidRPr="00BE198F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BE21C0" w:rsidRDefault="00BE21C0" w:rsidP="00BE21C0">
      <w:pPr>
        <w:spacing w:before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Fica ratificada a abertura, pelo Poder Executivo, do crédito adicional extraordinário previsto no Decreto nº 12.312, de 9 de julho de 2020, no valor de R$ 329.355,20 (trezentos e vinte e nove mil, trezentos e cinquenta e cinco reais e vinte centavos), destinado à contratação de serviços e à aquisição de materiais relacionados ao combate à pandemia de COVID-19, bem como à adequação da folha de pagamentos dos empregados públicos municipais, conforme demonstrativo abaixo: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5248"/>
        <w:gridCol w:w="1628"/>
      </w:tblGrid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320.933,60 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R$ 200.000,00 </w:t>
            </w:r>
          </w:p>
        </w:tc>
      </w:tr>
      <w:tr w:rsidR="00BE21C0" w:rsidTr="00BE21C0">
        <w:trPr>
          <w:trHeight w:val="36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60.466,80 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15.257,13</w:t>
            </w:r>
          </w:p>
        </w:tc>
      </w:tr>
      <w:tr w:rsidR="00BE21C0" w:rsidTr="00BE21C0">
        <w:trPr>
          <w:trHeight w:val="36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BE21C0" w:rsidTr="00BE21C0">
        <w:trPr>
          <w:trHeight w:val="64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</w:t>
            </w:r>
            <w:proofErr w:type="gramStart"/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$  45.209</w:t>
            </w:r>
            <w:proofErr w:type="gramEnd"/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,67 </w:t>
            </w:r>
          </w:p>
        </w:tc>
      </w:tr>
      <w:tr w:rsidR="00BE21C0" w:rsidTr="00BE21C0">
        <w:trPr>
          <w:trHeight w:val="36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12.122.0117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12.122.0117.2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12.122.0117.2.313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5.000,00 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5.000,00 </w:t>
            </w:r>
          </w:p>
        </w:tc>
      </w:tr>
      <w:tr w:rsidR="00BE21C0" w:rsidTr="00BE21C0">
        <w:trPr>
          <w:trHeight w:val="36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08.241.0117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08.241.0117.2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08.241.0117.2.313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3.421,60 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E21C0" w:rsidTr="00BE21C0">
        <w:trPr>
          <w:trHeight w:val="2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3.421,60 </w:t>
            </w:r>
          </w:p>
        </w:tc>
      </w:tr>
      <w:tr w:rsidR="00BE21C0" w:rsidTr="00BE21C0">
        <w:trPr>
          <w:trHeight w:val="36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21C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BE21C0" w:rsidRPr="00BE21C0" w:rsidRDefault="00BE21C0" w:rsidP="00BE21C0">
      <w:pPr>
        <w:tabs>
          <w:tab w:val="left" w:pos="2835"/>
        </w:tabs>
        <w:spacing w:before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BE21C0">
        <w:rPr>
          <w:rFonts w:ascii="Calibri" w:hAnsi="Calibri" w:cs="Calibri"/>
          <w:bCs/>
          <w:sz w:val="24"/>
          <w:szCs w:val="24"/>
        </w:rPr>
        <w:t>Art. 2º O crédito autorizado no art. 1º deste decreto será coberto por meio de recursos orçamentários provenientes de anulações parciais, na ordem de</w:t>
      </w:r>
      <w:r>
        <w:rPr>
          <w:rFonts w:ascii="Calibri" w:hAnsi="Calibri"/>
          <w:sz w:val="24"/>
          <w:szCs w:val="24"/>
        </w:rPr>
        <w:t xml:space="preserve"> R$ 329.355,20 (trezentos e vinte e nove mil, trezentos e cinquenta e cinco reais e vinte centavos), </w:t>
      </w:r>
      <w:r w:rsidRPr="00BE21C0">
        <w:rPr>
          <w:rFonts w:ascii="Calibri" w:hAnsi="Calibri" w:cs="Calibri"/>
          <w:bCs/>
          <w:sz w:val="24"/>
          <w:szCs w:val="24"/>
        </w:rPr>
        <w:t>das dotações abaixo especificadas: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5064"/>
        <w:gridCol w:w="1812"/>
      </w:tblGrid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SECRETARIA MUNICIPAL DA SAUDE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FUNDO MUNICIPAL DE SAÚDE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10.122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10.122.0117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10.122.0117.2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10.122.0117.2.313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R$    320.933,60 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R$    200.000,00 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5 - TRANSFERENCIAS E CONVENIOS FEDERAIS - VINCULADOS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3.1.90.13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OBRIGAÇÕES PATRONAIS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R$      60.466,80 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3.1.90.11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VENCIMENTOS E VANTAGENS FIXAS -  PESSOAL CIVIL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R$     15.257,13 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3 - RECURSOS PROPRIOS DE FUNDOS ESPECIAIS DE DESPESA - VINCULADOS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3.1.90.11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VENCIMENTOS E VANTAGENS FIXAS -  PESSOAL CIVIL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R$    45.209,67 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1 - TESOURO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SECRETARIA MUNICIPAL DE EDUCAÇÃO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02.10.01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EDUCAÇÃO INFANTIL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EDUCAÇÃO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12.122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12.122.0117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12.122.0117.2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12.122.0117.2.313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R$       5.000,00 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R$        5.000,00 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1 - TESOURO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02.19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FUNDO MUNICIPAL DO IDOSO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02.19.01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FUNDO MUNICIPAL DO IDOSO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ASSISTÊNCIA SOCIAL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08.241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ASSISTÊNCIA AO IDOSO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08.241.0037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Sistema de Garantia dos Direitos dos Idosos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08.241.0037.2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08.241.0037.2.064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Subvenções e auxílios a entidades registradas no Conselho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R$        3.421,60 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BE21C0" w:rsidTr="00BE21C0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3.3.50.43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SUBVENÇÕES SOCIAIS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 w:rsidP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R$        3.421,60 </w:t>
            </w:r>
          </w:p>
        </w:tc>
      </w:tr>
      <w:tr w:rsidR="00BE21C0" w:rsidTr="00BE21C0">
        <w:trPr>
          <w:trHeight w:val="6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1C0" w:rsidRPr="00BE21C0" w:rsidRDefault="00BE21C0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C0" w:rsidRPr="00BE21C0" w:rsidRDefault="00BE21C0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BE21C0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3 - RECURSOS PROPRIOS DE FUNDOS ESPECIAIS DE DESPESA - VINCULADOS</w:t>
            </w:r>
          </w:p>
        </w:tc>
      </w:tr>
    </w:tbl>
    <w:p w:rsidR="00BE21C0" w:rsidRDefault="00BE21C0" w:rsidP="00BE198F">
      <w:pPr>
        <w:tabs>
          <w:tab w:val="left" w:pos="2835"/>
        </w:tabs>
        <w:spacing w:before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3º Fica incluso o presente crédito adicional extraordinário na Lei nº 9.138, de 29 de novembro de 2017 (Plano Plurianual – PPA), na Lei nº 9.645, de 16 de julho de 2019 (Lei de Diretrizes Orçamentárias – LDO)</w:t>
      </w:r>
      <w:bookmarkStart w:id="0" w:name="_GoBack"/>
      <w:bookmarkEnd w:id="0"/>
      <w:r>
        <w:rPr>
          <w:rFonts w:ascii="Calibri" w:hAnsi="Calibri" w:cs="Calibri"/>
          <w:bCs/>
          <w:sz w:val="24"/>
          <w:szCs w:val="24"/>
        </w:rPr>
        <w:t xml:space="preserve"> e na Lei nº 9.844, de 17 de dezembro de 2019 (Lei Orçamentária Anual – LOA).</w:t>
      </w:r>
    </w:p>
    <w:p w:rsidR="00BE21C0" w:rsidRDefault="00BE21C0" w:rsidP="00BE198F">
      <w:pPr>
        <w:spacing w:before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4º </w:t>
      </w:r>
      <w:r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62273" w:rsidRPr="008A09C8" w:rsidRDefault="00BE21C0" w:rsidP="00BE198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F5453"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383D90">
        <w:rPr>
          <w:rFonts w:ascii="Calibri" w:hAnsi="Calibri" w:cs="Calibri"/>
          <w:sz w:val="24"/>
          <w:szCs w:val="24"/>
        </w:rPr>
        <w:t>2</w:t>
      </w:r>
      <w:r w:rsidR="00BD7828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</w:t>
      </w:r>
      <w:r w:rsidR="00150D05">
        <w:rPr>
          <w:rFonts w:ascii="Calibri" w:hAnsi="Calibri" w:cs="Calibri"/>
          <w:sz w:val="24"/>
          <w:szCs w:val="24"/>
        </w:rPr>
        <w:t>l</w:t>
      </w:r>
      <w:r w:rsidR="009C3C85">
        <w:rPr>
          <w:rFonts w:ascii="Calibri" w:hAnsi="Calibri" w:cs="Calibri"/>
          <w:sz w:val="24"/>
          <w:szCs w:val="24"/>
        </w:rPr>
        <w:t>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1C6D7E" w:rsidRPr="00BE198F" w:rsidRDefault="001C6D7E" w:rsidP="00D47EAB">
      <w:pPr>
        <w:rPr>
          <w:rFonts w:ascii="Calibri" w:hAnsi="Calibri" w:cs="Calibri"/>
          <w:sz w:val="14"/>
          <w:szCs w:val="1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BE198F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BE198F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198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198F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198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3D90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198F"/>
    <w:rsid w:val="00BE21C0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285</cp:revision>
  <cp:lastPrinted>2018-06-26T22:41:00Z</cp:lastPrinted>
  <dcterms:created xsi:type="dcterms:W3CDTF">2016-08-16T19:55:00Z</dcterms:created>
  <dcterms:modified xsi:type="dcterms:W3CDTF">2020-07-20T17:06:00Z</dcterms:modified>
</cp:coreProperties>
</file>