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R$ 218.211.38 (duzentos e dezoito mil, duzentos e onze reais e trinta e oito centavos), com desembolso pelo Governo Municipal, Estadual e Federal, para atender a despesas com acolhimento judicial para idosos e subvenção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16" w:rsidRDefault="002B4916" w:rsidP="00126850">
      <w:pPr>
        <w:spacing w:line="240" w:lineRule="auto"/>
      </w:pPr>
      <w:r>
        <w:separator/>
      </w:r>
    </w:p>
  </w:endnote>
  <w:endnote w:type="continuationSeparator" w:id="0">
    <w:p w:rsidR="002B4916" w:rsidRDefault="002B491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75F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B75F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16" w:rsidRDefault="002B4916" w:rsidP="00126850">
      <w:pPr>
        <w:spacing w:line="240" w:lineRule="auto"/>
      </w:pPr>
      <w:r>
        <w:separator/>
      </w:r>
    </w:p>
  </w:footnote>
  <w:footnote w:type="continuationSeparator" w:id="0">
    <w:p w:rsidR="002B4916" w:rsidRDefault="002B491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4916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B75FB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602A0-32E9-4731-BA85-38834E2E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2020-07-10T18:58:00Z</dcterms:modified>
</cp:coreProperties>
</file>