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202/2020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155/2020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R$ 218.211.38 (duzentos e dezoito mil, duzentos e onze reais e trinta e oito centavos), com desembolso pelo Governo Municipal, Estadual e Federal, para atender a despesas com acolhimento judicial para idosos e subvenção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6F2A" w:rsidRDefault="004D6F2A" w:rsidP="00126850">
      <w:pPr>
        <w:spacing w:line="240" w:lineRule="auto"/>
      </w:pPr>
      <w:r>
        <w:separator/>
      </w:r>
    </w:p>
  </w:endnote>
  <w:endnote w:type="continuationSeparator" w:id="0">
    <w:p w:rsidR="004D6F2A" w:rsidRDefault="004D6F2A"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1A7855">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1A7855">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6F2A" w:rsidRDefault="004D6F2A" w:rsidP="00126850">
      <w:pPr>
        <w:spacing w:line="240" w:lineRule="auto"/>
      </w:pPr>
      <w:r>
        <w:separator/>
      </w:r>
    </w:p>
  </w:footnote>
  <w:footnote w:type="continuationSeparator" w:id="0">
    <w:p w:rsidR="004D6F2A" w:rsidRDefault="004D6F2A"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A7855"/>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6F2A"/>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EB0291-9516-41CD-957E-FAA0D5AA8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1064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2020-07-10T18:58:00Z</dcterms:modified>
</cp:coreProperties>
</file>