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155/2020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202/2020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R$ 218.211.38 (duzentos e dezoito mil, duzentos e onze reais e trinta e oito centavos), com desembolso pelo Governo Municipal, Estadual e Federal, para atender a despesas com acolhimento judicial para idosos e subvenção social,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731" w:rsidRDefault="00C70731" w:rsidP="00126850">
      <w:pPr>
        <w:spacing w:line="240" w:lineRule="auto"/>
      </w:pPr>
      <w:r>
        <w:separator/>
      </w:r>
    </w:p>
  </w:endnote>
  <w:endnote w:type="continuationSeparator" w:id="0">
    <w:p w:rsidR="00C70731" w:rsidRDefault="00C7073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455A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455A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731" w:rsidRDefault="00C70731" w:rsidP="00126850">
      <w:pPr>
        <w:spacing w:line="240" w:lineRule="auto"/>
      </w:pPr>
      <w:r>
        <w:separator/>
      </w:r>
    </w:p>
  </w:footnote>
  <w:footnote w:type="continuationSeparator" w:id="0">
    <w:p w:rsidR="00C70731" w:rsidRDefault="00C7073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55AF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0731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F2E70-2782-4939-B1DD-0DAF52017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2020-07-10T18:57:00Z</dcterms:modified>
</cp:coreProperties>
</file>