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9E2B43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à Robofer Comércio de Produtos Metálicos Ltda., sociedade empresária limitada inscrita no CNPJ sob o nº 68.061.613/0001-72, imóvel de sua propriedade objeto da matrícula nº 145.895, autuada no Livro nº 2 – Registro Geral do 1º Cartório de Registro de Imóveis da Comarca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F327EA" w:rsidRPr="00F327EA" w:rsidRDefault="00A939CC" w:rsidP="00F327E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327EA" w:rsidRPr="00F327EA">
        <w:rPr>
          <w:rFonts w:ascii="Arial" w:eastAsia="Times New Roman" w:hAnsi="Arial" w:cs="Arial"/>
          <w:szCs w:val="24"/>
          <w:lang w:eastAsia="pt-BR"/>
        </w:rPr>
        <w:t>Sua elaboração atendeu às normas regimentais vigentes.</w:t>
      </w:r>
    </w:p>
    <w:p w:rsidR="00F327EA" w:rsidRPr="00F327EA" w:rsidRDefault="00F327EA" w:rsidP="00F327E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27EA" w:rsidRPr="00F327EA" w:rsidRDefault="00F327EA" w:rsidP="00F327E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27EA">
        <w:rPr>
          <w:rFonts w:ascii="Arial" w:eastAsia="Times New Roman" w:hAnsi="Arial" w:cs="Arial"/>
          <w:szCs w:val="24"/>
          <w:lang w:eastAsia="pt-BR"/>
        </w:rPr>
        <w:tab/>
      </w:r>
      <w:r w:rsidRPr="00F327EA">
        <w:rPr>
          <w:rFonts w:ascii="Arial" w:eastAsia="Times New Roman" w:hAnsi="Arial" w:cs="Arial"/>
          <w:szCs w:val="24"/>
          <w:lang w:eastAsia="pt-BR"/>
        </w:rPr>
        <w:tab/>
        <w:t>Cabe à Câmara, com a sanção do Prefeito, legislar sobre a alienação de bens imóveis do Município e, “a posteriori”, após a autorização daquela, ao sobredito Chefe do Executivo aliená-los (artigo 21, VIII, c/c art. 112, XXVII, da Lei Orgânica do Município).</w:t>
      </w:r>
    </w:p>
    <w:p w:rsidR="00F327EA" w:rsidRPr="00F327EA" w:rsidRDefault="00F327EA" w:rsidP="00F327E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27EA">
        <w:rPr>
          <w:rFonts w:ascii="Arial" w:eastAsia="Times New Roman" w:hAnsi="Arial" w:cs="Arial"/>
          <w:szCs w:val="24"/>
          <w:lang w:eastAsia="pt-BR"/>
        </w:rPr>
        <w:tab/>
      </w:r>
    </w:p>
    <w:p w:rsidR="00F327EA" w:rsidRPr="00F327EA" w:rsidRDefault="00F327EA" w:rsidP="00F327E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27EA">
        <w:rPr>
          <w:rFonts w:ascii="Arial" w:eastAsia="Times New Roman" w:hAnsi="Arial" w:cs="Arial"/>
          <w:szCs w:val="24"/>
          <w:lang w:eastAsia="pt-BR"/>
        </w:rPr>
        <w:tab/>
      </w:r>
      <w:r w:rsidRPr="00F327EA">
        <w:rPr>
          <w:rFonts w:ascii="Arial" w:eastAsia="Times New Roman" w:hAnsi="Arial" w:cs="Arial"/>
          <w:szCs w:val="24"/>
          <w:lang w:eastAsia="pt-BR"/>
        </w:rPr>
        <w:tab/>
        <w:t xml:space="preserve">A propositura segue a ritualística procedimental insculpida no art. 130 da Carta Política de Araraquara. </w:t>
      </w:r>
    </w:p>
    <w:p w:rsidR="00F327EA" w:rsidRPr="00F327EA" w:rsidRDefault="00F327EA" w:rsidP="00F327E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27EA" w:rsidRPr="00F327EA" w:rsidRDefault="00F327EA" w:rsidP="00F327E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27EA">
        <w:rPr>
          <w:rFonts w:ascii="Arial" w:eastAsia="Times New Roman" w:hAnsi="Arial" w:cs="Arial"/>
          <w:szCs w:val="24"/>
          <w:lang w:eastAsia="pt-BR"/>
        </w:rPr>
        <w:tab/>
      </w:r>
      <w:r w:rsidRPr="00F327EA">
        <w:rPr>
          <w:rFonts w:ascii="Arial" w:eastAsia="Times New Roman" w:hAnsi="Arial" w:cs="Arial"/>
          <w:szCs w:val="24"/>
          <w:lang w:eastAsia="pt-BR"/>
        </w:rPr>
        <w:tab/>
        <w:t>À Comissão de Tributação, Finanças e Orçamento para manifestação.</w:t>
      </w:r>
    </w:p>
    <w:p w:rsidR="00F327EA" w:rsidRPr="00F327EA" w:rsidRDefault="00F327EA" w:rsidP="00F327E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27E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F327EA" w:rsidRPr="00F327EA" w:rsidRDefault="00F327EA" w:rsidP="00F327E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27EA">
        <w:rPr>
          <w:rFonts w:ascii="Arial" w:eastAsia="Times New Roman" w:hAnsi="Arial" w:cs="Arial"/>
          <w:szCs w:val="24"/>
          <w:lang w:eastAsia="pt-BR"/>
        </w:rPr>
        <w:tab/>
      </w:r>
      <w:r w:rsidRPr="00F327E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F327EA" w:rsidRPr="00F327EA" w:rsidRDefault="00F327EA" w:rsidP="00F327E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27EA" w:rsidRPr="00F327EA" w:rsidRDefault="00F327EA" w:rsidP="00F327E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27EA">
        <w:rPr>
          <w:rFonts w:ascii="Arial" w:eastAsia="Times New Roman" w:hAnsi="Arial" w:cs="Arial"/>
          <w:szCs w:val="24"/>
          <w:lang w:eastAsia="pt-BR"/>
        </w:rPr>
        <w:tab/>
      </w:r>
      <w:r w:rsidRPr="00F327EA"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F327EA" w:rsidRPr="00F327EA" w:rsidRDefault="00F327EA" w:rsidP="00F327E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27EA">
        <w:rPr>
          <w:rFonts w:ascii="Arial" w:eastAsia="Times New Roman" w:hAnsi="Arial" w:cs="Arial"/>
          <w:szCs w:val="24"/>
          <w:lang w:eastAsia="pt-BR"/>
        </w:rPr>
        <w:tab/>
      </w:r>
    </w:p>
    <w:p w:rsidR="00F327EA" w:rsidRPr="00F327EA" w:rsidRDefault="00F327EA" w:rsidP="00F327E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27EA">
        <w:rPr>
          <w:rFonts w:ascii="Arial" w:eastAsia="Times New Roman" w:hAnsi="Arial" w:cs="Arial"/>
          <w:szCs w:val="24"/>
          <w:lang w:eastAsia="pt-BR"/>
        </w:rPr>
        <w:tab/>
      </w:r>
      <w:r w:rsidRPr="00F327E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327EA" w:rsidRPr="00F327EA" w:rsidRDefault="00F327EA" w:rsidP="00F327EA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C46BE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C46BE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535" w:rsidRDefault="003A2535" w:rsidP="00126850">
      <w:pPr>
        <w:spacing w:line="240" w:lineRule="auto"/>
      </w:pPr>
      <w:r>
        <w:separator/>
      </w:r>
    </w:p>
  </w:endnote>
  <w:endnote w:type="continuationSeparator" w:id="0">
    <w:p w:rsidR="003A2535" w:rsidRDefault="003A253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327E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327E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535" w:rsidRDefault="003A2535" w:rsidP="00126850">
      <w:pPr>
        <w:spacing w:line="240" w:lineRule="auto"/>
      </w:pPr>
      <w:r>
        <w:separator/>
      </w:r>
    </w:p>
  </w:footnote>
  <w:footnote w:type="continuationSeparator" w:id="0">
    <w:p w:rsidR="003A2535" w:rsidRDefault="003A253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16EC0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2535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2B43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27EA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FC325-FA6B-49C7-B5CB-21268F18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2019-01-29T16:48:00Z</dcterms:created>
  <dcterms:modified xsi:type="dcterms:W3CDTF">2020-06-26T17:55:00Z</dcterms:modified>
</cp:coreProperties>
</file>