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E95BBA" w:rsidRDefault="009C5A22" w:rsidP="009C5A22">
      <w:pPr>
        <w:tabs>
          <w:tab w:val="left" w:pos="709"/>
          <w:tab w:val="left" w:pos="1418"/>
        </w:tabs>
        <w:autoSpaceDE w:val="0"/>
        <w:autoSpaceDN w:val="0"/>
        <w:spacing w:line="240" w:lineRule="auto"/>
        <w:ind w:right="51"/>
        <w:jc w:val="both"/>
        <w:rPr>
          <w:rFonts w:asciiTheme="minorHAnsi" w:eastAsia="Times New Roman" w:hAnsiTheme="minorHAnsi" w:cstheme="minorHAnsi"/>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E95BBA">
        <w:rPr>
          <w:rFonts w:asciiTheme="minorHAnsi" w:eastAsia="Times New Roman" w:hAnsiTheme="minorHAnsi" w:cstheme="minorHAnsi"/>
          <w:bCs/>
          <w:szCs w:val="24"/>
          <w:lang w:eastAsia="pt-BR"/>
        </w:rPr>
        <w:t>A</w:t>
      </w:r>
      <w:r w:rsidRPr="00E95BBA">
        <w:rPr>
          <w:rFonts w:asciiTheme="minorHAnsi" w:eastAsia="Times New Roman" w:hAnsiTheme="minorHAnsi" w:cstheme="minorHAnsi"/>
          <w:szCs w:val="24"/>
          <w:lang w:eastAsia="pt-BR"/>
        </w:rPr>
        <w:t xml:space="preserve"> Comissão de Justiça, Legislação e Redação</w:t>
      </w:r>
      <w:r w:rsidR="000A4139" w:rsidRPr="00E95BBA">
        <w:rPr>
          <w:rFonts w:asciiTheme="minorHAnsi" w:eastAsia="Times New Roman" w:hAnsiTheme="minorHAnsi" w:cstheme="minorHAnsi"/>
          <w:szCs w:val="24"/>
          <w:lang w:eastAsia="pt-BR"/>
        </w:rPr>
        <w:t xml:space="preserve"> e a Comissão de Tributação, Finanças e Orçamento</w:t>
      </w:r>
      <w:r w:rsidRPr="00E95BBA">
        <w:rPr>
          <w:rFonts w:asciiTheme="minorHAnsi" w:eastAsia="Times New Roman" w:hAnsiTheme="minorHAnsi" w:cstheme="minorHAnsi"/>
          <w:szCs w:val="24"/>
          <w:lang w:eastAsia="pt-BR"/>
        </w:rPr>
        <w:t xml:space="preserve">, de conformidade com o que deliberou o plenário em sessão </w:t>
      </w:r>
      <w:r w:rsidR="00855DF2" w:rsidRPr="00E95BBA">
        <w:rPr>
          <w:rFonts w:asciiTheme="minorHAnsi" w:eastAsia="Times New Roman" w:hAnsiTheme="minorHAnsi" w:cstheme="minorHAnsi"/>
          <w:szCs w:val="24"/>
          <w:lang w:eastAsia="pt-BR"/>
        </w:rPr>
        <w:t>extra</w:t>
      </w:r>
      <w:r w:rsidRPr="00E95BBA">
        <w:rPr>
          <w:rFonts w:asciiTheme="minorHAnsi" w:eastAsia="Times New Roman" w:hAnsiTheme="minorHAnsi" w:cstheme="minorHAnsi"/>
          <w:szCs w:val="24"/>
          <w:lang w:eastAsia="pt-BR"/>
        </w:rPr>
        <w:t xml:space="preserve">ordinária de </w:t>
      </w:r>
      <w:r w:rsidR="00855DF2" w:rsidRPr="00E95BBA">
        <w:rPr>
          <w:rFonts w:asciiTheme="minorHAnsi" w:eastAsia="Times New Roman" w:hAnsiTheme="minorHAnsi" w:cstheme="minorHAnsi"/>
          <w:szCs w:val="24"/>
          <w:lang w:eastAsia="pt-BR"/>
        </w:rPr>
        <w:t>23</w:t>
      </w:r>
      <w:r w:rsidRPr="00E95BBA">
        <w:rPr>
          <w:rFonts w:asciiTheme="minorHAnsi" w:eastAsia="Times New Roman" w:hAnsiTheme="minorHAnsi" w:cstheme="minorHAnsi"/>
          <w:szCs w:val="24"/>
          <w:lang w:eastAsia="pt-BR"/>
        </w:rPr>
        <w:t xml:space="preserve"> de </w:t>
      </w:r>
      <w:r w:rsidR="00855DF2" w:rsidRPr="00E95BBA">
        <w:rPr>
          <w:rFonts w:asciiTheme="minorHAnsi" w:eastAsia="Times New Roman" w:hAnsiTheme="minorHAnsi" w:cstheme="minorHAnsi"/>
          <w:szCs w:val="24"/>
          <w:lang w:eastAsia="pt-BR"/>
        </w:rPr>
        <w:t xml:space="preserve">junho </w:t>
      </w:r>
      <w:r w:rsidRPr="00E95BBA">
        <w:rPr>
          <w:rFonts w:asciiTheme="minorHAnsi" w:eastAsia="Times New Roman" w:hAnsiTheme="minorHAnsi" w:cstheme="minorHAnsi"/>
          <w:szCs w:val="24"/>
          <w:lang w:eastAsia="pt-BR"/>
        </w:rPr>
        <w:t>de 20</w:t>
      </w:r>
      <w:r w:rsidR="004C1BCF" w:rsidRPr="00E95BBA">
        <w:rPr>
          <w:rFonts w:asciiTheme="minorHAnsi" w:eastAsia="Times New Roman" w:hAnsiTheme="minorHAnsi" w:cstheme="minorHAnsi"/>
          <w:szCs w:val="24"/>
          <w:lang w:eastAsia="pt-BR"/>
        </w:rPr>
        <w:t>20</w:t>
      </w:r>
      <w:r w:rsidRPr="00E95BBA">
        <w:rPr>
          <w:rFonts w:asciiTheme="minorHAnsi" w:eastAsia="Times New Roman" w:hAnsiTheme="minorHAnsi" w:cstheme="minorHAnsi"/>
          <w:szCs w:val="24"/>
          <w:lang w:eastAsia="pt-BR"/>
        </w:rPr>
        <w:t xml:space="preserve">, aprovando o Projeto de Lei nº </w:t>
      </w:r>
      <w:r w:rsidR="00855DF2" w:rsidRPr="00E95BBA">
        <w:rPr>
          <w:rFonts w:asciiTheme="minorHAnsi" w:eastAsia="Times New Roman" w:hAnsiTheme="minorHAnsi" w:cstheme="minorHAnsi"/>
          <w:szCs w:val="24"/>
          <w:lang w:eastAsia="pt-BR"/>
        </w:rPr>
        <w:t>121</w:t>
      </w:r>
      <w:r w:rsidRPr="00E95BBA">
        <w:rPr>
          <w:rFonts w:asciiTheme="minorHAnsi" w:eastAsia="Times New Roman" w:hAnsiTheme="minorHAnsi" w:cstheme="minorHAnsi"/>
          <w:szCs w:val="24"/>
          <w:lang w:eastAsia="pt-BR"/>
        </w:rPr>
        <w:t>/20</w:t>
      </w:r>
      <w:r w:rsidR="004C1BCF" w:rsidRPr="00E95BBA">
        <w:rPr>
          <w:rFonts w:asciiTheme="minorHAnsi" w:eastAsia="Times New Roman" w:hAnsiTheme="minorHAnsi" w:cstheme="minorHAnsi"/>
          <w:szCs w:val="24"/>
          <w:lang w:eastAsia="pt-BR"/>
        </w:rPr>
        <w:t>20</w:t>
      </w:r>
      <w:r w:rsidRPr="00E95BBA">
        <w:rPr>
          <w:rFonts w:asciiTheme="minorHAnsi" w:eastAsia="Times New Roman" w:hAnsiTheme="minorHAnsi" w:cstheme="minorHAnsi"/>
          <w:szCs w:val="24"/>
          <w:lang w:eastAsia="pt-BR"/>
        </w:rPr>
        <w:t xml:space="preserve"> e a</w:t>
      </w:r>
      <w:r w:rsidR="00855DF2" w:rsidRPr="00E95BBA">
        <w:rPr>
          <w:rFonts w:asciiTheme="minorHAnsi" w:eastAsia="Times New Roman" w:hAnsiTheme="minorHAnsi" w:cstheme="minorHAnsi"/>
          <w:szCs w:val="24"/>
          <w:lang w:eastAsia="pt-BR"/>
        </w:rPr>
        <w:t>s</w:t>
      </w:r>
      <w:r w:rsidRPr="00E95BBA">
        <w:rPr>
          <w:rFonts w:asciiTheme="minorHAnsi" w:eastAsia="Times New Roman" w:hAnsiTheme="minorHAnsi" w:cstheme="minorHAnsi"/>
          <w:szCs w:val="24"/>
          <w:lang w:eastAsia="pt-BR"/>
        </w:rPr>
        <w:t xml:space="preserve"> correspondente</w:t>
      </w:r>
      <w:r w:rsidR="00855DF2" w:rsidRPr="00E95BBA">
        <w:rPr>
          <w:rFonts w:asciiTheme="minorHAnsi" w:eastAsia="Times New Roman" w:hAnsiTheme="minorHAnsi" w:cstheme="minorHAnsi"/>
          <w:szCs w:val="24"/>
          <w:lang w:eastAsia="pt-BR"/>
        </w:rPr>
        <w:t>s</w:t>
      </w:r>
      <w:r w:rsidRPr="00E95BBA">
        <w:rPr>
          <w:rFonts w:asciiTheme="minorHAnsi" w:eastAsia="Times New Roman" w:hAnsiTheme="minorHAnsi" w:cstheme="minorHAnsi"/>
          <w:szCs w:val="24"/>
          <w:lang w:eastAsia="pt-BR"/>
        </w:rPr>
        <w:t xml:space="preserve"> emenda</w:t>
      </w:r>
      <w:r w:rsidR="00855DF2" w:rsidRPr="00E95BBA">
        <w:rPr>
          <w:rFonts w:asciiTheme="minorHAnsi" w:eastAsia="Times New Roman" w:hAnsiTheme="minorHAnsi" w:cstheme="minorHAnsi"/>
          <w:szCs w:val="24"/>
          <w:lang w:eastAsia="pt-BR"/>
        </w:rPr>
        <w:t>s</w:t>
      </w:r>
      <w:r w:rsidRPr="00E95BBA">
        <w:rPr>
          <w:rFonts w:asciiTheme="minorHAnsi" w:eastAsia="Times New Roman" w:hAnsiTheme="minorHAnsi" w:cstheme="minorHAnsi"/>
          <w:szCs w:val="24"/>
          <w:lang w:eastAsia="pt-BR"/>
        </w:rPr>
        <w:t>, apresenta a inclusa</w:t>
      </w:r>
    </w:p>
    <w:p w:rsidR="009C5A22" w:rsidRPr="00E95BBA" w:rsidRDefault="009C5A22" w:rsidP="009C5A22">
      <w:pPr>
        <w:tabs>
          <w:tab w:val="left" w:pos="709"/>
          <w:tab w:val="left" w:pos="1418"/>
        </w:tabs>
        <w:autoSpaceDE w:val="0"/>
        <w:autoSpaceDN w:val="0"/>
        <w:spacing w:line="240" w:lineRule="auto"/>
        <w:ind w:right="51"/>
        <w:jc w:val="both"/>
        <w:rPr>
          <w:rFonts w:asciiTheme="minorHAnsi" w:eastAsia="Times New Roman" w:hAnsiTheme="minorHAnsi" w:cstheme="minorHAnsi"/>
          <w:szCs w:val="24"/>
          <w:lang w:eastAsia="pt-BR"/>
        </w:rPr>
      </w:pPr>
    </w:p>
    <w:p w:rsidR="009C5A22" w:rsidRPr="00E95BBA" w:rsidRDefault="009C5A22" w:rsidP="009C5A22">
      <w:pPr>
        <w:tabs>
          <w:tab w:val="left" w:pos="709"/>
          <w:tab w:val="left" w:pos="1418"/>
        </w:tabs>
        <w:autoSpaceDE w:val="0"/>
        <w:autoSpaceDN w:val="0"/>
        <w:spacing w:line="240" w:lineRule="auto"/>
        <w:ind w:right="51"/>
        <w:jc w:val="both"/>
        <w:rPr>
          <w:rFonts w:asciiTheme="minorHAnsi" w:eastAsia="Times New Roman" w:hAnsiTheme="minorHAnsi" w:cstheme="minorHAnsi"/>
          <w:szCs w:val="24"/>
          <w:lang w:eastAsia="pt-BR"/>
        </w:rPr>
      </w:pPr>
    </w:p>
    <w:p w:rsidR="009C5A22" w:rsidRPr="00E95BBA" w:rsidRDefault="009C5A22" w:rsidP="009C5A22">
      <w:pPr>
        <w:autoSpaceDE w:val="0"/>
        <w:autoSpaceDN w:val="0"/>
        <w:spacing w:line="240" w:lineRule="auto"/>
        <w:ind w:right="-91"/>
        <w:jc w:val="center"/>
        <w:rPr>
          <w:rFonts w:asciiTheme="minorHAnsi" w:eastAsia="Times New Roman" w:hAnsiTheme="minorHAnsi" w:cstheme="minorHAnsi"/>
          <w:b/>
          <w:bCs/>
          <w:szCs w:val="24"/>
          <w:lang w:eastAsia="pt-BR"/>
        </w:rPr>
      </w:pPr>
      <w:r w:rsidRPr="00E95BBA">
        <w:rPr>
          <w:rFonts w:asciiTheme="minorHAnsi" w:eastAsia="Times New Roman" w:hAnsiTheme="minorHAnsi" w:cstheme="minorHAnsi"/>
          <w:b/>
          <w:bCs/>
          <w:sz w:val="32"/>
          <w:szCs w:val="32"/>
          <w:lang w:eastAsia="pt-BR"/>
        </w:rPr>
        <w:t xml:space="preserve">NOVA </w:t>
      </w:r>
      <w:r w:rsidR="00E95BBA">
        <w:rPr>
          <w:rFonts w:asciiTheme="minorHAnsi" w:eastAsia="Times New Roman" w:hAnsiTheme="minorHAnsi" w:cstheme="minorHAnsi"/>
          <w:b/>
          <w:bCs/>
          <w:sz w:val="32"/>
          <w:szCs w:val="32"/>
          <w:lang w:eastAsia="pt-BR"/>
        </w:rPr>
        <w:t>REDAÇÃO AO PROJETO DE LEI Nº 121/2020</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E95BBA" w:rsidRDefault="00E95BBA" w:rsidP="00E95BBA">
      <w:pPr>
        <w:autoSpaceDE w:val="0"/>
        <w:autoSpaceDN w:val="0"/>
        <w:spacing w:line="240" w:lineRule="auto"/>
        <w:ind w:left="4536"/>
        <w:jc w:val="both"/>
        <w:rPr>
          <w:rFonts w:asciiTheme="minorHAnsi" w:eastAsia="Times New Roman" w:hAnsiTheme="minorHAnsi" w:cstheme="minorHAnsi"/>
          <w:sz w:val="22"/>
          <w:lang w:eastAsia="pt-BR"/>
        </w:rPr>
      </w:pPr>
      <w:r w:rsidRPr="00E95BBA">
        <w:rPr>
          <w:rFonts w:asciiTheme="minorHAnsi" w:eastAsia="Times New Roman" w:hAnsiTheme="minorHAnsi" w:cstheme="minorHAnsi"/>
          <w:sz w:val="22"/>
          <w:lang w:eastAsia="pt-BR"/>
        </w:rPr>
        <w:t>Dispõe sobre as diretrizes para a elaboração e execução da Lei Orçamentária Anual do exercício de 2021 e dá outras providências.</w:t>
      </w:r>
    </w:p>
    <w:p w:rsid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95BBA" w:rsidRPr="009C5A22" w:rsidRDefault="00E95BBA"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95BBA" w:rsidRPr="00E95BBA" w:rsidRDefault="00E95BBA" w:rsidP="00E95BBA">
      <w:pPr>
        <w:tabs>
          <w:tab w:val="left" w:pos="9099"/>
        </w:tabs>
        <w:spacing w:before="120" w:after="120"/>
        <w:jc w:val="center"/>
        <w:rPr>
          <w:rFonts w:ascii="Calibri" w:eastAsia="Times New Roman" w:hAnsi="Calibri" w:cs="Calibri"/>
          <w:szCs w:val="24"/>
          <w:lang w:eastAsia="pt-BR"/>
        </w:rPr>
      </w:pPr>
      <w:r w:rsidRPr="00E95BBA">
        <w:rPr>
          <w:rFonts w:ascii="Calibri" w:eastAsia="Times New Roman" w:hAnsi="Calibri" w:cs="Calibri"/>
          <w:szCs w:val="24"/>
          <w:lang w:eastAsia="pt-BR"/>
        </w:rPr>
        <w:t>CAPÍTULO I</w:t>
      </w:r>
    </w:p>
    <w:p w:rsidR="00E95BBA" w:rsidRPr="00E95BBA" w:rsidRDefault="00E95BBA" w:rsidP="00E95BBA">
      <w:pPr>
        <w:tabs>
          <w:tab w:val="left" w:pos="9099"/>
        </w:tabs>
        <w:spacing w:before="120" w:after="120" w:line="240" w:lineRule="auto"/>
        <w:jc w:val="center"/>
        <w:rPr>
          <w:rFonts w:ascii="Calibri" w:eastAsia="Times New Roman" w:hAnsi="Calibri" w:cs="Calibri"/>
          <w:szCs w:val="24"/>
          <w:lang w:eastAsia="pt-BR"/>
        </w:rPr>
      </w:pPr>
      <w:r w:rsidRPr="00E95BBA">
        <w:rPr>
          <w:rFonts w:ascii="Calibri" w:eastAsia="Times New Roman" w:hAnsi="Calibri" w:cs="Calibri"/>
          <w:szCs w:val="24"/>
          <w:lang w:eastAsia="pt-BR"/>
        </w:rPr>
        <w:t>DISPOSIÇÕES INICIAIS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bCs/>
          <w:szCs w:val="24"/>
          <w:lang w:eastAsia="pt-BR"/>
        </w:rPr>
        <w:t>Art. 1º</w:t>
      </w:r>
      <w:r w:rsidRPr="00E95BBA">
        <w:rPr>
          <w:rFonts w:ascii="Calibri" w:eastAsia="Times New Roman" w:hAnsi="Calibri" w:cs="Times New Roman"/>
          <w:szCs w:val="24"/>
          <w:lang w:eastAsia="pt-BR"/>
        </w:rPr>
        <w:t xml:space="preserve"> Nos termos do § 2º do art. 165 da Constituição da República Federativa do Brasil, da Lei Federal nº 4.320, de 17 de março de 1964, da Lei Complementar Federal nº 101, de 4 de maio de 2000, e do § 2º do art. 218 da Lei Orgânica do Município de Araraquara, esta lei fixa as diretrizes orçamentárias do Município para o exercício de 2021, orienta a elaboração da respectiva Lei Orçamentária Anual, estabelece as normas e disposições de controle da execução orçamentária, bem como dispõe sobre as alterações na legislação tributária e atende às determinações impostas pela Lei Federal Complementar nº 101, de 4 de maio de 2000, e Portarias da Secretaria do Tesouro Nacional.</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2º As diretrizes orçamentárias, para elaboração da proposta orçamentária, abrangerá o Poder Legislativo, o Poder Executivo e as entidades da Administração Pública Municipal Indireta, observando-se os seguintes eixos estratégicos: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 – gestão pública democrática, participação popular, transparência e controle social;</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II – desenvolvimento e sustentabilidade; e</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III – qualidade de vida e efetivação de direitos sociais.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Art. 3º O Projeto de Lei Orçamentária Anual, relativo ao exercício de 2021, deve assegurar os princípios de justiça social, justiça tributária, de controle social e de transparência na elaboração e execução do orçamento, assim considerados: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II – o princípio de controle social implica em assegurar a todo cidadão a participação na elaboração e no acompanhamento do orçamento e nas decisões sobre a implementação e a fiscalização de políticas e serviços públicos; e</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lastRenderedPageBreak/>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4º Será assegurada aos cidadãos a participação no processo de elaboração, execução e fiscalização do orçamento 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E95BBA" w:rsidRPr="00E95BBA" w:rsidRDefault="00E95BBA" w:rsidP="00E95BBA">
      <w:pPr>
        <w:spacing w:before="120" w:after="120" w:line="240" w:lineRule="auto"/>
        <w:jc w:val="both"/>
        <w:rPr>
          <w:rFonts w:ascii="Calibri" w:eastAsia="Times New Roman" w:hAnsi="Calibri" w:cs="Times New Roman"/>
          <w:szCs w:val="24"/>
          <w:lang w:eastAsia="pt-BR"/>
        </w:rPr>
      </w:pPr>
    </w:p>
    <w:p w:rsidR="00E95BBA" w:rsidRPr="00E95BBA" w:rsidRDefault="00E95BBA" w:rsidP="00E95BBA">
      <w:pPr>
        <w:spacing w:before="120" w:after="120" w:line="240" w:lineRule="auto"/>
        <w:jc w:val="center"/>
        <w:rPr>
          <w:rFonts w:ascii="Calibri" w:eastAsia="Times New Roman" w:hAnsi="Calibri" w:cs="Times New Roman"/>
          <w:szCs w:val="24"/>
          <w:lang w:eastAsia="pt-BR"/>
        </w:rPr>
      </w:pPr>
      <w:r w:rsidRPr="00E95BBA">
        <w:rPr>
          <w:rFonts w:ascii="Calibri" w:eastAsia="Times New Roman" w:hAnsi="Calibri" w:cs="Times New Roman"/>
          <w:szCs w:val="24"/>
          <w:lang w:eastAsia="pt-BR"/>
        </w:rPr>
        <w:t>CAPÍTULO II</w:t>
      </w:r>
    </w:p>
    <w:p w:rsidR="00E95BBA" w:rsidRPr="00E95BBA" w:rsidRDefault="00E95BBA" w:rsidP="00E95BBA">
      <w:pPr>
        <w:spacing w:before="120" w:after="120" w:line="240" w:lineRule="auto"/>
        <w:jc w:val="center"/>
        <w:rPr>
          <w:rFonts w:ascii="Calibri" w:eastAsia="Times New Roman" w:hAnsi="Calibri" w:cs="Times New Roman"/>
          <w:szCs w:val="24"/>
          <w:lang w:eastAsia="pt-BR"/>
        </w:rPr>
      </w:pPr>
      <w:r w:rsidRPr="00E95BBA">
        <w:rPr>
          <w:rFonts w:ascii="Calibri" w:eastAsia="Times New Roman" w:hAnsi="Calibri" w:cs="Times New Roman"/>
          <w:szCs w:val="24"/>
          <w:lang w:eastAsia="pt-BR"/>
        </w:rPr>
        <w:t>DAS METAS E PRIORIDADES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5º As metas de resultados fiscais do município para o exercício de 2021 são aquelas constantes do Anexo II de Metas Fiscais, anexo e integrante desta lei, desdobrado em:</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 – Demonstrativo I – Metas anuais;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II – Demonstrativo II – Avaliação do cumprimento das metas fiscais do exercício anterior;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III – Demonstrativo III – Metas fiscais atuais comparadas com as fixadas nos três exercícios anteriores;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IV – Demonstrativo IV – Evolução do patrimônio líquido;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V – Demonstrativo V – Origem e aplicação dos recursos obtidos com a alienação de ativos;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VI – Demonstrativo VI-A – Avaliação da Situação Financeira do RPPS;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VII – Demonstrativo VII – Estimativa e compensação da renúncia de receita;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VIII – Demonstrativo VIII – Margem de expansão das despesas obrigatórias de caráter continuado; e</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IX – Anexo VI – Unidades Executoras e Ações voltadas ao desenvolvimento do Programa Governamental.</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 1º Os Demonstrativos I e III de que trata o "caput" deste artigo são expressos em valores correntes e constantes; caso ocorram mudanças no cenário macroeconômico do País, seus valores poderão ser alterados por meio de Decreto do Poder Executivo.</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 2º As metas fixadas no “caput” deste artigo poderão ser atualizadas na ocasião do envio da Lei Orçamentária Anual de 2021, devido ao período de incertezas econômicas em que esta lei é elaborada.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6º Integra esta lei o anexo denominado Anexo I de Riscos Fiscais, no qual são avaliados os passivos contingentes e outros riscos capazes de afetar as contas públicas, com indicação das providências a serem tomadas pelo Poder Executivo caso venham a se concretizar.</w:t>
      </w:r>
    </w:p>
    <w:p w:rsidR="00E95BBA" w:rsidRPr="00E95BBA" w:rsidRDefault="00E95BBA" w:rsidP="00E95BBA">
      <w:pPr>
        <w:spacing w:before="120" w:after="120" w:line="240" w:lineRule="auto"/>
        <w:jc w:val="both"/>
        <w:rPr>
          <w:rFonts w:ascii="Calibri" w:eastAsia="Times New Roman" w:hAnsi="Calibri" w:cs="Times New Roman"/>
          <w:szCs w:val="24"/>
          <w:lang w:eastAsia="pt-BR"/>
        </w:rPr>
      </w:pPr>
    </w:p>
    <w:p w:rsidR="00E95BBA" w:rsidRPr="00E95BBA" w:rsidRDefault="00E95BBA" w:rsidP="00E95BBA">
      <w:pPr>
        <w:spacing w:before="120" w:after="120" w:line="240" w:lineRule="auto"/>
        <w:jc w:val="center"/>
        <w:rPr>
          <w:rFonts w:ascii="Calibri" w:eastAsia="Times New Roman" w:hAnsi="Calibri" w:cs="Times New Roman"/>
          <w:szCs w:val="24"/>
          <w:lang w:eastAsia="pt-BR"/>
        </w:rPr>
      </w:pPr>
      <w:r w:rsidRPr="00E95BBA">
        <w:rPr>
          <w:rFonts w:ascii="Calibri" w:eastAsia="Times New Roman" w:hAnsi="Calibri" w:cs="Times New Roman"/>
          <w:szCs w:val="24"/>
          <w:lang w:eastAsia="pt-BR"/>
        </w:rPr>
        <w:lastRenderedPageBreak/>
        <w:t>CAPÍTULO III</w:t>
      </w:r>
    </w:p>
    <w:p w:rsidR="00E95BBA" w:rsidRPr="00E95BBA" w:rsidRDefault="00E95BBA" w:rsidP="00E95BBA">
      <w:pPr>
        <w:spacing w:before="120" w:after="120" w:line="240" w:lineRule="auto"/>
        <w:jc w:val="center"/>
        <w:rPr>
          <w:rFonts w:ascii="Calibri" w:eastAsia="Times New Roman" w:hAnsi="Calibri" w:cs="Times New Roman"/>
          <w:szCs w:val="24"/>
          <w:lang w:eastAsia="pt-BR"/>
        </w:rPr>
      </w:pPr>
      <w:r w:rsidRPr="00E95BBA">
        <w:rPr>
          <w:rFonts w:ascii="Calibri" w:eastAsia="Times New Roman" w:hAnsi="Calibri" w:cs="Times New Roman"/>
          <w:szCs w:val="24"/>
          <w:lang w:eastAsia="pt-BR"/>
        </w:rPr>
        <w:t>DOS PRAZOS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7º O Poder Executivo enviará até 30 de setembro do corrente ano o Projeto de Lei Orçamentária Anual à Câmara Municipal, que o apreciará até o final da sessão legislativa, devolvendo-o a seguir para sanção e demais providências.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1º A Mesa da Câmara Municipal de Araraquara elaborará sua proposta orçamentária para o exercício de 2021 e a remeterá à Secretaria Municipal de Planejamento e Participação Popular em até 30 (trinta) dias antes do prazo previsto para remessa do Projeto de Lei Orçamentária Anual à Câmara Municipal.</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2º As entidades da Administração Pública Municipal Indireta enviarão suas propostas orçamentárias parciais para o exercício de 2021 à Secretaria Municipal de Planejamento e Participação Popular, elaboradas com base nesta lei e na </w:t>
      </w:r>
      <w:r w:rsidRPr="00E95BBA">
        <w:rPr>
          <w:rFonts w:ascii="Calibri" w:eastAsia="Times New Roman" w:hAnsi="Calibri" w:cs="Calibri"/>
          <w:bCs/>
          <w:szCs w:val="24"/>
          <w:lang w:eastAsia="pt-BR"/>
        </w:rPr>
        <w:t>Lei nº 9.138, de 29 de novembro de 2017 (Plano Plurianual – PPA)</w:t>
      </w:r>
      <w:r w:rsidRPr="00E95BBA">
        <w:rPr>
          <w:rFonts w:ascii="Calibri" w:eastAsia="Times New Roman" w:hAnsi="Calibri" w:cs="Times New Roman"/>
          <w:szCs w:val="24"/>
          <w:lang w:eastAsia="pt-BR"/>
        </w:rPr>
        <w:t xml:space="preserve">, até o dia 20 de julho de 2020.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Art. 8º Não sendo encaminhado o autógrafo do projeto de lei orçamentária anual até o dia 31 de dezembro de 2020, fica o Poder Executivo autorizado a realizar a proposta orçamentária até a sua conversão em lei, no limite de 1/12 (um doze avos) em cada mês.</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Parágrafo único.  A limitação de 1/12 (um doze avos) em cada mês, a que se refere o “caput” deste artigo, não se aplica às despesas de que tratam as alíneas “a”, “b” e “c” do inciso II do § 3º do art. 166 da Constituição da República Federativa do Brasil.</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Art. 9º O Poder Legislativo e as entidades da Administração Pública Municipal Indireta integrantes do orçamento público deverão, para fins de consolidação das contas públicas, encaminhar mensalmente ao Poder Executivo, até o dia 10 do mês subsequente ao encerramento do mês, os relatórios demonstrativos das receitas e despesas, além de outros que se fizerem necessários para esse fim.   </w:t>
      </w:r>
    </w:p>
    <w:p w:rsidR="00E95BBA" w:rsidRPr="00E95BBA" w:rsidRDefault="00E95BBA" w:rsidP="00E95BBA">
      <w:pPr>
        <w:spacing w:before="120" w:after="120" w:line="240" w:lineRule="auto"/>
        <w:ind w:firstLine="1418"/>
        <w:jc w:val="both"/>
        <w:rPr>
          <w:rFonts w:ascii="Calibri" w:eastAsia="Times New Roman" w:hAnsi="Calibri" w:cs="Times New Roman"/>
          <w:szCs w:val="24"/>
          <w:lang w:eastAsia="pt-BR"/>
        </w:rPr>
      </w:pPr>
      <w:r w:rsidRPr="00E95BBA">
        <w:rPr>
          <w:rFonts w:ascii="Calibri" w:eastAsia="Times New Roman" w:hAnsi="Calibri" w:cs="Times New Roman"/>
          <w:szCs w:val="24"/>
          <w:lang w:eastAsia="pt-BR"/>
        </w:rPr>
        <w:t xml:space="preserve"> Parágrafo único.  Em caso de não observância ao disposto no "caput" por parte das entidades, as prestações de contas aos sistemas de controles externos exercidos pelo Tribunal de Contas do Estado de São Paulo, pelo Tribunal de Contas da União e pelo Ministério Público seguirão sem as informações das entidades, sendo tal fato imediatamente comunicado ao Tribunal de Contas do Estado de São Paulo para providências.</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IV</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DA ELABORAÇÃO E DA EXECUÇÃO DA LEI ORÇAMENTÁRIA ANUAL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10. As unidades orçamentárias, quando da elaboração de suas propostas orçamentárias parciais, deverão atender à estrutura orçamentária e às determinações emanadas pelos setores competentes da área.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11. A proposta orçamentária, que não conterá dispositivos estranhos à previsão da receita e à fixação da despesa, atenderá a um processo de planejamento permanente, com vistas à descentralização e à participação popular.</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lastRenderedPageBreak/>
        <w:t>§ 1º A proposta orçamentária conterá, ainda, reserva de contingência e compreenderá o orçamento fiscal e da seguridade social referente ao Poderes Executivo e ao Poder Legislativo do Município, seus fundos, órgãos, autarquias, inclusive especiais, fundações de direito público, fundações públicas de direito privado instituídas e mantidas pelo Poder Público Municipal, bem como das empresas públicas, sociedades de economia mista e demais entidades em que o ente, direta ou indiretamente, detenha a maioria do capital social com direito a voto e que dele recebam recursos do Tesouro Municipal.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2º A execução orçamentária e financeira das despesas realizadas de forma descentralizada observará as normas estabelecidas pela Secretaria do Tesouro Nacional.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3º A criação, expansão ou aperfeiçoamento de ação governamental que acarrete aumento da despesa será acompanhada de estimativa do impacto orçamentário e financeiro, ressalvadas as despesas consideradas irrelevantes, que não ultrapassem a 1% (um por cento) da Receita Corrente Líquida.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12. A discriminação da despesa, quanto à sua natureza, far-se-á no mínimo por categoria econômica, grupo de natureza de despesa, modalidade de aplicação e elemento de despesa, nos termos do art. 6º da Portaria Interministerial nº 163, de 4 de maio de 2001, e orientações do Tribunal de Contas do Estado de São Paulo.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13. A proposta orçamentária anual atenderá às diretrizes gerais e aos princípios de unidade, universalidade e anualidade, não podendo o montante das despesas fixadas exceder a previsão da receita para o exercício.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14. As receitas e as despesas serão estimadas tomando-se por base o índice de inflação apurado nos últimos 12 (doze) meses, a tendência e o comportamento da arrecadação municipal mês a mês.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 1º Na estimativa das receitas deverão ser consideradas, ainda, as modificações da legislação tributária.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 2º As taxas de poder de polícia deverão remunerar a atividade municipal de maneira a equilibrar as respectivas despesas.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15. A proposta orçamentária que o Poder Executivo encaminhar ao Poder Legislativo compor-se-á de: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 – mensagem;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 – projeto de lei orçamentária anual;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III – tabelas explicativas a que se refere o inciso III do art. 22 da Lei Federal nº 4.320, de 1964;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IV – sumário geral da receita por fontes e da despesa por funções de governo;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V – sumário geral da receita e despesa, por categorias econômicas;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VI – quadro das dotações por órgãos do governo e da administração;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VII – demonstrativo do cumprimento da legislação que dispõe sobre a aplicação de recursos resultantes de impostos na manutenção e desenvolvimento do Ensino;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lastRenderedPageBreak/>
        <w:t>VIII – demonstrativo do cumprimento da Emenda à Constituição da República Federativa do Brasil nº 29, de 13 de setembro de 2000; 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IX – demonstrativos discriminando a totalidade das receitas e das despesas das Entidades das Administrações Direta e indireta.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16. Caso os valores previstos nesta lei se apresentem defasados na ocasião da elaboração da proposta orçamentária, poderão ser reajustados aos valores reais, compatibilizando a receita orçada com a despesa autorizada.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Parágrafo único.  Fica o Poder Executivo autorizado a executar a compatibilização entre as peças de planejamento (PPA 2018/2021 e LDO 2021) caso ocorra o disposto no "caput" deste artigo.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17. A lei orçamentária anual conterá reserva de contingência do Poder Executivo e demais entidades da Administração Pública Municipal Indireta, que será equivalente a, no máximo, 5% (cinco por cento) da receita corrente líquida prevista na proposta orçamentária de 2021, sendo destinada 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 – </w:t>
      </w:r>
      <w:proofErr w:type="gramStart"/>
      <w:r w:rsidRPr="00E95BBA">
        <w:rPr>
          <w:rFonts w:ascii="Calibri" w:eastAsia="Times New Roman" w:hAnsi="Calibri" w:cs="Calibri"/>
          <w:bCs/>
          <w:szCs w:val="24"/>
          <w:lang w:eastAsia="pt-BR"/>
        </w:rPr>
        <w:t>cobertura  de</w:t>
      </w:r>
      <w:proofErr w:type="gramEnd"/>
      <w:r w:rsidRPr="00E95BBA">
        <w:rPr>
          <w:rFonts w:ascii="Calibri" w:eastAsia="Times New Roman" w:hAnsi="Calibri" w:cs="Calibri"/>
          <w:bCs/>
          <w:szCs w:val="24"/>
          <w:lang w:eastAsia="pt-BR"/>
        </w:rPr>
        <w:t xml:space="preserve"> créditos adicionais; 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II – atender passivos contingentes e outros riscos e eventos fiscais imprevistos.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18. O planejamento orçamentário do Município será elaborado e acompanhado pela Secretaria Municipal de Planejamento e Participação Popular, com auxílio do Comitê Municipal de Gestão da Execução Orçamentária, instituído pelo Decreto nº 12.147, de 9 de dezembro de 2019.</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Parágrafo único.  Entende-se por planejamento orçamentário os seguintes instrumentos de planejamento: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 – PPA – Plano Plurianual;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 – LDO – Lei de Diretrizes Orçamentárias; e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III – LOA – Lei Orçamentária Anual.</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V</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DAS ALTERAÇÕES NA LEGISLAÇÃO TRIBUTÁRIA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19.</w:t>
      </w:r>
      <w:r w:rsidRPr="00E95BBA">
        <w:rPr>
          <w:rFonts w:eastAsia="Times New Roman" w:cs="Times New Roman"/>
          <w:sz w:val="20"/>
          <w:szCs w:val="20"/>
          <w:lang w:eastAsia="pt-BR"/>
        </w:rPr>
        <w:t xml:space="preserve"> </w:t>
      </w:r>
      <w:r w:rsidRPr="00E95BBA">
        <w:rPr>
          <w:rFonts w:ascii="Calibri" w:eastAsia="Times New Roman" w:hAnsi="Calibri" w:cs="Calibri"/>
          <w:bCs/>
          <w:szCs w:val="24"/>
          <w:lang w:eastAsia="pt-BR"/>
        </w:rPr>
        <w:t>Visando ao aperfeiçoamento e à atualização da legislação, o Poder Executivo poderá encaminhar à Câmara Municipal projetos de lei dispondo sobre alterações na legislação tributária, especialmente sobre: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 – revisão e atualização do Código Tributário Municipal, de forma a corrigir distorções;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II – revogações das isenções tributárias que contrariem o interesse público e a justiça fiscal;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III – revisão das taxas objetivando sua adequação aos custos efetivos dos serviços prestados e ao exercício do poder de polícia do Município;</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lastRenderedPageBreak/>
        <w:t xml:space="preserve"> IV – atualização da Planta Genérica de Valores, ajustando-a aos movimentos de valorização do mercado imobiliário; 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V – aperfeiçoamento do sistema de fiscalização, cobrança, execução fiscal e arrecadação de tributos.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20. Os projetos de lei de concessão ou ampliação de incentivo ou benefício de natureza tributária, da qual decorra renúncia de receita deverão atender as disposições contidas no art. 14 da Lei Complementar Federal nº 101, de 2000.</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VI</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REPASSES AO TERCEIRO SETOR</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21. A destinação de recursos orçamentários às entidades privadas sem fins lucrativos deverá observar:</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 – lei específica que expressamente defina a destinação de recursos às entidades beneficiadas, nos termos do disposto no art. 26 da Lei Complementar Federal nº 101, de 04 de maio de 2000;</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II – o disposto, no que couber, na Lei Federal nº 13.019, de 31 de julho de 2014, e suas alterações, que institui normas gerais para as parcerias entre a Administração Pública e as organizações da sociedade civil;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III – o disposto, no que couber, no Decreto nº 11.434, de 18 de julho de 2017, e suas alterações, que dispõe sobre as regras e procedimentos do regime jurídico das parcerias celebradas entre a Administração Pública do Município de Araraquara e as Organizações da Sociedade Civil.  </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VII</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DA LIMITAÇÃO DE DESPESAS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22.</w:t>
      </w:r>
      <w:r w:rsidRPr="00E95BBA">
        <w:rPr>
          <w:rFonts w:eastAsia="Times New Roman" w:cs="Times New Roman"/>
          <w:sz w:val="20"/>
          <w:szCs w:val="20"/>
          <w:lang w:eastAsia="pt-BR"/>
        </w:rPr>
        <w:t xml:space="preserve"> </w:t>
      </w:r>
      <w:r w:rsidRPr="00E95BBA">
        <w:rPr>
          <w:rFonts w:ascii="Calibri" w:eastAsia="Times New Roman" w:hAnsi="Calibri" w:cs="Calibri"/>
          <w:bCs/>
          <w:szCs w:val="24"/>
          <w:lang w:eastAsia="pt-BR"/>
        </w:rPr>
        <w:t xml:space="preserve">Na forma do art. 13 da Lei Complementar Federal nº 101, de 2000, até 30 (trinta) dias após a publicação da lei orçamentária anual, o Poder Executivo estabelecerá as metas bimestrais para a realização das receitas e o cronograma de desembolso mensal.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Poder Executivo e o Poder Legislativo determinarão a limitação de empenho e movimentação financeira, em montantes necessários à preservação dos resultados estabelecidos.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lastRenderedPageBreak/>
        <w:t xml:space="preserve"> § 3º Não se admitirá a limitação de empenho e movimentação financeira nas despesas vinculadas, caso a frustração na arrecadação não esteja ocorrendo nas respectivas receitas.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5º A limitação de empenho e movimentação financeira também será adotada na hipótese de ser necessária a redução de eventual excesso da dívida consolidada em relação à meta fixada no Anexo de Metas Fiscais, obedecendo-se ao que dispõe o art. 31 da Lei Complementar Federal nº 101, de 2000.</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Art. 23. A limitação de empenho e movimentação financeira de que trata o artigo anterior poderá ser suspensa, no todo ou em parte, caso a situação de frustração de receitas se reverta nos bimestres seguintes.</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VIII</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DAS DISPOSIÇÕES RELATIVAS A DESPESAS COM PESSOAL</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24.</w:t>
      </w:r>
      <w:r w:rsidRPr="00E95BBA">
        <w:rPr>
          <w:rFonts w:eastAsia="Times New Roman" w:cs="Times New Roman"/>
          <w:sz w:val="20"/>
          <w:szCs w:val="20"/>
          <w:lang w:eastAsia="pt-BR"/>
        </w:rPr>
        <w:t xml:space="preserve"> </w:t>
      </w:r>
      <w:r w:rsidRPr="00E95BBA">
        <w:rPr>
          <w:rFonts w:ascii="Calibri" w:eastAsia="Times New Roman" w:hAnsi="Calibri" w:cs="Calibri"/>
          <w:bCs/>
          <w:szCs w:val="24"/>
          <w:lang w:eastAsia="pt-BR"/>
        </w:rPr>
        <w:t xml:space="preserve">O aumento da despesa com pessoal, em decorrência de qualquer das medidas relacionadas no § 1º do art. 169 da Constituição da República Federativa do Brasil, somente poderá ser realizado mediante lei específica, desde que obedecidos os limites previstos nos art. 20 </w:t>
      </w:r>
      <w:proofErr w:type="spellStart"/>
      <w:r w:rsidRPr="00E95BBA">
        <w:rPr>
          <w:rFonts w:ascii="Calibri" w:eastAsia="Times New Roman" w:hAnsi="Calibri" w:cs="Calibri"/>
          <w:bCs/>
          <w:szCs w:val="24"/>
          <w:lang w:eastAsia="pt-BR"/>
        </w:rPr>
        <w:t>c.c</w:t>
      </w:r>
      <w:proofErr w:type="spellEnd"/>
      <w:r w:rsidRPr="00E95BBA">
        <w:rPr>
          <w:rFonts w:ascii="Calibri" w:eastAsia="Times New Roman" w:hAnsi="Calibri" w:cs="Calibri"/>
          <w:bCs/>
          <w:szCs w:val="24"/>
          <w:lang w:eastAsia="pt-BR"/>
        </w:rPr>
        <w:t xml:space="preserve">. o parágrafo único do art. </w:t>
      </w:r>
      <w:proofErr w:type="gramStart"/>
      <w:r w:rsidRPr="00E95BBA">
        <w:rPr>
          <w:rFonts w:ascii="Calibri" w:eastAsia="Times New Roman" w:hAnsi="Calibri" w:cs="Calibri"/>
          <w:bCs/>
          <w:szCs w:val="24"/>
          <w:lang w:eastAsia="pt-BR"/>
        </w:rPr>
        <w:t>22,  todos</w:t>
      </w:r>
      <w:proofErr w:type="gramEnd"/>
      <w:r w:rsidRPr="00E95BBA">
        <w:rPr>
          <w:rFonts w:ascii="Calibri" w:eastAsia="Times New Roman" w:hAnsi="Calibri" w:cs="Calibri"/>
          <w:bCs/>
          <w:szCs w:val="24"/>
          <w:lang w:eastAsia="pt-BR"/>
        </w:rPr>
        <w:t xml:space="preserve"> da Lei Complementar Federal nº 101, de 2000, cumpridas as exigências previstas nos </w:t>
      </w:r>
      <w:proofErr w:type="spellStart"/>
      <w:r w:rsidRPr="00E95BBA">
        <w:rPr>
          <w:rFonts w:ascii="Calibri" w:eastAsia="Times New Roman" w:hAnsi="Calibri" w:cs="Calibri"/>
          <w:bCs/>
          <w:szCs w:val="24"/>
          <w:lang w:eastAsia="pt-BR"/>
        </w:rPr>
        <w:t>arts</w:t>
      </w:r>
      <w:proofErr w:type="spellEnd"/>
      <w:r w:rsidRPr="00E95BBA">
        <w:rPr>
          <w:rFonts w:ascii="Calibri" w:eastAsia="Times New Roman" w:hAnsi="Calibri" w:cs="Calibri"/>
          <w:bCs/>
          <w:szCs w:val="24"/>
          <w:lang w:eastAsia="pt-BR"/>
        </w:rPr>
        <w:t>. 16 e 17 do referido diploma legal, ficando autorizado o aumento da despesa com pessoal para: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 – concessão de qualquer vantagem ou aumento de remuneração, a criação de cargos, empregos e funções ou alteração de estruturas de carreiras; e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 – admissão de pessoal ou contratação a qualquer título.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1º Os aumentos de que trata este artigo somente poderão ocorrer se houver prévia dotação orçamentária suficiente para atender às projeções de despesa de pessoal e aos acréscimos dela decorrentes.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2º No caso do Poder Legislativo, deverão ser obedecidos, adicionalmente, os limites fixados nos </w:t>
      </w:r>
      <w:proofErr w:type="spellStart"/>
      <w:r w:rsidRPr="00E95BBA">
        <w:rPr>
          <w:rFonts w:ascii="Calibri" w:eastAsia="Times New Roman" w:hAnsi="Calibri" w:cs="Calibri"/>
          <w:bCs/>
          <w:szCs w:val="24"/>
          <w:lang w:eastAsia="pt-BR"/>
        </w:rPr>
        <w:t>arts</w:t>
      </w:r>
      <w:proofErr w:type="spellEnd"/>
      <w:r w:rsidRPr="00E95BBA">
        <w:rPr>
          <w:rFonts w:ascii="Calibri" w:eastAsia="Times New Roman" w:hAnsi="Calibri" w:cs="Calibri"/>
          <w:bCs/>
          <w:szCs w:val="24"/>
          <w:lang w:eastAsia="pt-BR"/>
        </w:rPr>
        <w:t>. 29 e 29-A da Constituição da República Federativa do Brasil.</w:t>
      </w:r>
    </w:p>
    <w:p w:rsidR="00E95BBA" w:rsidRPr="00E95BBA" w:rsidRDefault="00E95BBA" w:rsidP="00E95BBA">
      <w:pPr>
        <w:spacing w:before="120" w:after="120" w:line="240" w:lineRule="auto"/>
        <w:jc w:val="both"/>
        <w:rPr>
          <w:rFonts w:ascii="Calibri" w:eastAsia="Times New Roman" w:hAnsi="Calibri" w:cs="Calibri"/>
          <w:bCs/>
          <w:szCs w:val="24"/>
          <w:lang w:eastAsia="pt-BR"/>
        </w:rPr>
      </w:pP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CAPÍTULO IX</w:t>
      </w:r>
    </w:p>
    <w:p w:rsidR="00E95BBA" w:rsidRPr="00E95BBA" w:rsidRDefault="00E95BBA" w:rsidP="00E95BBA">
      <w:pPr>
        <w:spacing w:before="120" w:after="120" w:line="240" w:lineRule="auto"/>
        <w:jc w:val="center"/>
        <w:rPr>
          <w:rFonts w:ascii="Calibri" w:eastAsia="Times New Roman" w:hAnsi="Calibri" w:cs="Calibri"/>
          <w:bCs/>
          <w:szCs w:val="24"/>
          <w:lang w:eastAsia="pt-BR"/>
        </w:rPr>
      </w:pPr>
      <w:r w:rsidRPr="00E95BBA">
        <w:rPr>
          <w:rFonts w:ascii="Calibri" w:eastAsia="Times New Roman" w:hAnsi="Calibri" w:cs="Calibri"/>
          <w:bCs/>
          <w:szCs w:val="24"/>
          <w:lang w:eastAsia="pt-BR"/>
        </w:rPr>
        <w:t>DISPOSIÇÕES GERAIS E FINAIS</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Art. 25.</w:t>
      </w:r>
      <w:r w:rsidRPr="00E95BBA">
        <w:rPr>
          <w:rFonts w:eastAsia="Times New Roman" w:cs="Times New Roman"/>
          <w:sz w:val="20"/>
          <w:szCs w:val="20"/>
          <w:lang w:eastAsia="pt-BR"/>
        </w:rPr>
        <w:t xml:space="preserve"> </w:t>
      </w:r>
      <w:r w:rsidRPr="00E95BBA">
        <w:rPr>
          <w:rFonts w:ascii="Calibri" w:eastAsia="Times New Roman" w:hAnsi="Calibri" w:cs="Calibri"/>
          <w:bCs/>
          <w:szCs w:val="24"/>
          <w:lang w:eastAsia="pt-BR"/>
        </w:rPr>
        <w:t>Nos termos da Constituição da República Federativa do Brasil, o Poder Executivo fica autorizado a:</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I – realizar operações de crédito por antecipação da receita, nos termos da legislação em vigor;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lastRenderedPageBreak/>
        <w:t xml:space="preserve">II – realizar operações de crédito até o limite estabelecido pela legislação em vigor;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III – abrir créditos suplementares e especiais até o limite de 20% (vinte) do orçamento total das despesas, nos termos da legislação vigente;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IV – abrir créditos suplementares em virtude do excesso de arrecadação apurado no mês ou com base na sua projeção;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V – abrir, no curso da execução do orçamento de 2021, créditos suplementares de dotações vinculadas a recursos de outras fontes específicas, até o limite dos valores efetivamente recebidos;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VI – transpor, remanejar ou transferir recursos, dentro de uma mesma categoria de programação, sem prévia autorização legislativa; e</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VII – firmar parcerias com outros entes da Federação, para manutenção de suas atividades, bem como as do Município.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 § 1º A autorização prevista no inciso V é destinada para os casos em que já exista no orçamento a funcional programática completa (função, </w:t>
      </w:r>
      <w:proofErr w:type="spellStart"/>
      <w:r w:rsidRPr="00E95BBA">
        <w:rPr>
          <w:rFonts w:ascii="Calibri" w:eastAsia="Times New Roman" w:hAnsi="Calibri" w:cs="Calibri"/>
          <w:bCs/>
          <w:szCs w:val="24"/>
          <w:lang w:eastAsia="pt-BR"/>
        </w:rPr>
        <w:t>subfunção</w:t>
      </w:r>
      <w:proofErr w:type="spellEnd"/>
      <w:r w:rsidRPr="00E95BBA">
        <w:rPr>
          <w:rFonts w:ascii="Calibri" w:eastAsia="Times New Roman" w:hAnsi="Calibri" w:cs="Calibri"/>
          <w:bCs/>
          <w:szCs w:val="24"/>
          <w:lang w:eastAsia="pt-BR"/>
        </w:rPr>
        <w:t xml:space="preserve">, programa, ação, categoria) e exista a necessidade da criação de outra fonte de recursos para a mesma classificação.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Art. 26. O Município poderá conceder incentivos fiscais ao desenvolvimento de atividades na área social, cultural e de esporte mediante leis específicas.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Art. 27. Fica o Poder Executivo autorizado a custear despesas de responsabilidade de outras esferas de Governo, desde que firmados os respectivos convênios, termo de acordo, ajuste ou congênere, bem como que haja recursos orçamentários disponíveis.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 xml:space="preserve">Art. 28.  Para a execução dos programas governamentais pelas entidades da Administração Pública Municipal Indireta, o Poder Executivo poderá efetuar repasses através de transferências financeiras concedidas. </w:t>
      </w:r>
    </w:p>
    <w:p w:rsidR="00E95BBA" w:rsidRPr="00E95BBA" w:rsidRDefault="00E95BBA" w:rsidP="00E95BBA">
      <w:pPr>
        <w:spacing w:before="120" w:after="120" w:line="240" w:lineRule="auto"/>
        <w:ind w:firstLine="1418"/>
        <w:jc w:val="both"/>
        <w:rPr>
          <w:rFonts w:ascii="Calibri" w:eastAsia="Times New Roman" w:hAnsi="Calibri" w:cs="Calibri"/>
          <w:bCs/>
          <w:szCs w:val="24"/>
          <w:lang w:eastAsia="pt-BR"/>
        </w:rPr>
      </w:pPr>
      <w:r w:rsidRPr="00E95BBA">
        <w:rPr>
          <w:rFonts w:ascii="Calibri" w:eastAsia="Times New Roman" w:hAnsi="Calibri" w:cs="Calibri"/>
          <w:bCs/>
          <w:szCs w:val="24"/>
          <w:lang w:eastAsia="pt-BR"/>
        </w:rPr>
        <w:t>Parágrafo único.  A Lei Orçamentária Anual conterá relatório que demonstre os repasses financeiros a serem executados em 2021, listando os órgãos recebedores e seus respectivos valores.</w:t>
      </w:r>
    </w:p>
    <w:p w:rsidR="009770DB" w:rsidRPr="009770DB" w:rsidRDefault="00E95BBA" w:rsidP="00E95BBA">
      <w:pPr>
        <w:tabs>
          <w:tab w:val="left" w:pos="709"/>
          <w:tab w:val="left" w:pos="1418"/>
          <w:tab w:val="left" w:pos="2127"/>
          <w:tab w:val="left" w:pos="2835"/>
        </w:tabs>
        <w:autoSpaceDE w:val="0"/>
        <w:autoSpaceDN w:val="0"/>
        <w:spacing w:line="240" w:lineRule="auto"/>
        <w:jc w:val="both"/>
        <w:rPr>
          <w:rFonts w:ascii="Calibri" w:eastAsia="Times New Roman" w:hAnsi="Calibri" w:cs="Calibri"/>
          <w:bCs/>
          <w:szCs w:val="24"/>
          <w:lang w:eastAsia="pt-BR"/>
        </w:rPr>
      </w:pPr>
      <w:r>
        <w:rPr>
          <w:rFonts w:ascii="Calibri" w:eastAsia="Times New Roman" w:hAnsi="Calibri" w:cs="Calibri"/>
          <w:bCs/>
          <w:szCs w:val="24"/>
          <w:lang w:eastAsia="pt-BR"/>
        </w:rPr>
        <w:tab/>
      </w:r>
      <w:r>
        <w:rPr>
          <w:rFonts w:ascii="Calibri" w:eastAsia="Times New Roman" w:hAnsi="Calibri" w:cs="Calibri"/>
          <w:bCs/>
          <w:szCs w:val="24"/>
          <w:lang w:eastAsia="pt-BR"/>
        </w:rPr>
        <w:tab/>
      </w:r>
      <w:r w:rsidRPr="00E95BBA">
        <w:rPr>
          <w:rFonts w:ascii="Calibri" w:eastAsia="Times New Roman" w:hAnsi="Calibri" w:cs="Calibri"/>
          <w:bCs/>
          <w:szCs w:val="24"/>
          <w:lang w:eastAsia="pt-BR"/>
        </w:rPr>
        <w:t>Art. 29.  Esta lei entra em vigor na data de sua publicação.</w:t>
      </w:r>
    </w:p>
    <w:p w:rsid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474D41" w:rsidRDefault="00474D41"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474D41" w:rsidRPr="009C5A22" w:rsidRDefault="00474D41"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9770DB" w:rsidRDefault="00E15754" w:rsidP="00E15754">
      <w:pPr>
        <w:autoSpaceDE w:val="0"/>
        <w:autoSpaceDN w:val="0"/>
        <w:spacing w:line="240" w:lineRule="auto"/>
        <w:ind w:left="34"/>
        <w:jc w:val="center"/>
        <w:rPr>
          <w:rFonts w:asciiTheme="minorHAnsi" w:eastAsia="Times New Roman" w:hAnsiTheme="minorHAnsi" w:cstheme="minorHAnsi"/>
          <w:bCs/>
          <w:szCs w:val="24"/>
          <w:lang w:eastAsia="pt-BR"/>
        </w:rPr>
      </w:pPr>
      <w:r w:rsidRPr="009770DB">
        <w:rPr>
          <w:rFonts w:asciiTheme="minorHAnsi" w:eastAsia="Times New Roman" w:hAnsiTheme="minorHAnsi" w:cstheme="minorHAnsi"/>
          <w:bCs/>
          <w:szCs w:val="24"/>
          <w:lang w:eastAsia="pt-BR"/>
        </w:rPr>
        <w:t>Sala de reuniões das comissões, ______________________</w:t>
      </w:r>
    </w:p>
    <w:p w:rsid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9770DB" w:rsidRDefault="009770DB" w:rsidP="00E15754">
      <w:pPr>
        <w:autoSpaceDE w:val="0"/>
        <w:autoSpaceDN w:val="0"/>
        <w:spacing w:line="240" w:lineRule="auto"/>
        <w:ind w:left="34"/>
        <w:jc w:val="center"/>
        <w:rPr>
          <w:rFonts w:ascii="Arial" w:eastAsia="Times New Roman" w:hAnsi="Arial" w:cs="Arial"/>
          <w:bCs/>
          <w:szCs w:val="24"/>
          <w:lang w:eastAsia="pt-BR"/>
        </w:rPr>
      </w:pPr>
    </w:p>
    <w:p w:rsidR="00474D41" w:rsidRDefault="00474D41" w:rsidP="00E15754">
      <w:pPr>
        <w:autoSpaceDE w:val="0"/>
        <w:autoSpaceDN w:val="0"/>
        <w:spacing w:line="240" w:lineRule="auto"/>
        <w:ind w:left="34"/>
        <w:jc w:val="center"/>
        <w:rPr>
          <w:rFonts w:ascii="Arial" w:eastAsia="Times New Roman" w:hAnsi="Arial" w:cs="Arial"/>
          <w:bCs/>
          <w:szCs w:val="24"/>
          <w:lang w:eastAsia="pt-BR"/>
        </w:rPr>
      </w:pPr>
    </w:p>
    <w:p w:rsidR="00474D41" w:rsidRDefault="00474D41" w:rsidP="00E15754">
      <w:pPr>
        <w:autoSpaceDE w:val="0"/>
        <w:autoSpaceDN w:val="0"/>
        <w:spacing w:line="240" w:lineRule="auto"/>
        <w:ind w:left="34"/>
        <w:jc w:val="center"/>
        <w:rPr>
          <w:rFonts w:ascii="Arial" w:eastAsia="Times New Roman" w:hAnsi="Arial" w:cs="Arial"/>
          <w:bCs/>
          <w:szCs w:val="24"/>
          <w:lang w:eastAsia="pt-BR"/>
        </w:rPr>
      </w:pPr>
    </w:p>
    <w:p w:rsidR="00474D41" w:rsidRDefault="00474D41" w:rsidP="00E15754">
      <w:pPr>
        <w:autoSpaceDE w:val="0"/>
        <w:autoSpaceDN w:val="0"/>
        <w:spacing w:line="240" w:lineRule="auto"/>
        <w:ind w:left="34"/>
        <w:jc w:val="center"/>
        <w:rPr>
          <w:rFonts w:ascii="Arial" w:eastAsia="Times New Roman" w:hAnsi="Arial" w:cs="Arial"/>
          <w:bCs/>
          <w:szCs w:val="24"/>
          <w:lang w:eastAsia="pt-BR"/>
        </w:rPr>
      </w:pPr>
    </w:p>
    <w:p w:rsidR="00474D41" w:rsidRDefault="00474D41" w:rsidP="00E15754">
      <w:pPr>
        <w:autoSpaceDE w:val="0"/>
        <w:autoSpaceDN w:val="0"/>
        <w:spacing w:line="240" w:lineRule="auto"/>
        <w:ind w:left="34"/>
        <w:jc w:val="center"/>
        <w:rPr>
          <w:rFonts w:ascii="Arial" w:eastAsia="Times New Roman" w:hAnsi="Arial" w:cs="Arial"/>
          <w:bCs/>
          <w:szCs w:val="24"/>
          <w:lang w:eastAsia="pt-BR"/>
        </w:rPr>
      </w:pPr>
    </w:p>
    <w:p w:rsidR="00474D41" w:rsidRDefault="00474D41" w:rsidP="00E15754">
      <w:pPr>
        <w:autoSpaceDE w:val="0"/>
        <w:autoSpaceDN w:val="0"/>
        <w:spacing w:line="240" w:lineRule="auto"/>
        <w:ind w:left="34"/>
        <w:jc w:val="center"/>
        <w:rPr>
          <w:rFonts w:ascii="Arial" w:eastAsia="Times New Roman" w:hAnsi="Arial" w:cs="Arial"/>
          <w:bCs/>
          <w:szCs w:val="24"/>
          <w:lang w:eastAsia="pt-BR"/>
        </w:rPr>
      </w:pPr>
      <w:bookmarkStart w:id="0" w:name="_GoBack"/>
      <w:bookmarkEnd w:id="0"/>
    </w:p>
    <w:p w:rsidR="009770DB" w:rsidRPr="00E15754" w:rsidRDefault="009770DB" w:rsidP="00E15754">
      <w:pPr>
        <w:autoSpaceDE w:val="0"/>
        <w:autoSpaceDN w:val="0"/>
        <w:spacing w:line="240" w:lineRule="auto"/>
        <w:ind w:left="34"/>
        <w:jc w:val="center"/>
        <w:rPr>
          <w:rFonts w:ascii="Arial" w:eastAsia="Times New Roman" w:hAnsi="Arial" w:cs="Arial"/>
          <w:bCs/>
          <w:szCs w:val="24"/>
          <w:lang w:eastAsia="pt-BR"/>
        </w:rPr>
      </w:pPr>
    </w:p>
    <w:p w:rsidR="009770DB" w:rsidRDefault="009770DB" w:rsidP="009770DB">
      <w:pPr>
        <w:ind w:left="34"/>
        <w:jc w:val="center"/>
        <w:rPr>
          <w:rFonts w:ascii="Cambria" w:hAnsi="Cambria" w:cs="Arial"/>
          <w:bCs/>
          <w:szCs w:val="24"/>
        </w:rPr>
      </w:pPr>
      <w:r>
        <w:rPr>
          <w:rFonts w:ascii="Cambria" w:hAnsi="Cambria" w:cs="Arial"/>
          <w:bCs/>
          <w:szCs w:val="24"/>
        </w:rPr>
        <w:t>______________________________</w:t>
      </w:r>
    </w:p>
    <w:p w:rsidR="009770DB" w:rsidRDefault="009770DB" w:rsidP="009770DB">
      <w:pPr>
        <w:ind w:left="34"/>
        <w:jc w:val="center"/>
        <w:rPr>
          <w:rFonts w:ascii="Cambria" w:hAnsi="Cambria" w:cs="Arial"/>
          <w:b/>
          <w:bCs/>
          <w:szCs w:val="24"/>
        </w:rPr>
      </w:pPr>
      <w:r>
        <w:rPr>
          <w:rFonts w:ascii="Cambria" w:hAnsi="Cambria" w:cs="Arial"/>
          <w:b/>
          <w:bCs/>
          <w:szCs w:val="24"/>
        </w:rPr>
        <w:t>Zé Luiz (Zé Macaco)</w:t>
      </w:r>
    </w:p>
    <w:p w:rsidR="009770DB" w:rsidRDefault="009770DB" w:rsidP="009770DB">
      <w:pPr>
        <w:ind w:left="34"/>
        <w:jc w:val="center"/>
        <w:rPr>
          <w:rFonts w:ascii="Cambria" w:hAnsi="Cambria" w:cs="Arial"/>
          <w:b/>
          <w:bCs/>
          <w:szCs w:val="24"/>
        </w:rPr>
      </w:pPr>
      <w:r>
        <w:rPr>
          <w:rFonts w:ascii="Cambria" w:hAnsi="Cambria" w:cs="Arial"/>
          <w:b/>
          <w:bCs/>
          <w:szCs w:val="24"/>
        </w:rPr>
        <w:t>Presidente da CTFO</w:t>
      </w:r>
    </w:p>
    <w:p w:rsidR="00BD4999" w:rsidRDefault="00BD4999" w:rsidP="009770DB">
      <w:pPr>
        <w:ind w:left="34"/>
        <w:jc w:val="center"/>
        <w:rPr>
          <w:rFonts w:ascii="Cambria" w:hAnsi="Cambria" w:cs="Arial"/>
          <w:bCs/>
          <w:szCs w:val="24"/>
        </w:rPr>
      </w:pPr>
    </w:p>
    <w:p w:rsidR="0056308E" w:rsidRDefault="0056308E" w:rsidP="009770DB">
      <w:pPr>
        <w:ind w:left="34"/>
        <w:jc w:val="center"/>
        <w:rPr>
          <w:rFonts w:ascii="Cambria" w:hAnsi="Cambria" w:cs="Arial"/>
          <w:bCs/>
          <w:szCs w:val="24"/>
        </w:rPr>
      </w:pPr>
    </w:p>
    <w:p w:rsidR="009770DB" w:rsidRDefault="009770DB" w:rsidP="009770DB">
      <w:pPr>
        <w:ind w:left="34"/>
        <w:jc w:val="center"/>
        <w:rPr>
          <w:rFonts w:ascii="Cambria" w:hAnsi="Cambria" w:cs="Arial"/>
          <w:bCs/>
          <w:szCs w:val="24"/>
        </w:rPr>
      </w:pPr>
      <w:r>
        <w:rPr>
          <w:rFonts w:ascii="Cambria" w:hAnsi="Cambria" w:cs="Arial"/>
          <w:bCs/>
          <w:szCs w:val="24"/>
        </w:rPr>
        <w:t xml:space="preserve">______________________________           </w:t>
      </w:r>
      <w:r>
        <w:rPr>
          <w:rFonts w:ascii="Cambria" w:hAnsi="Cambria" w:cs="Arial"/>
          <w:bCs/>
          <w:szCs w:val="24"/>
        </w:rPr>
        <w:t xml:space="preserve">              </w:t>
      </w:r>
      <w:r>
        <w:rPr>
          <w:rFonts w:ascii="Cambria" w:hAnsi="Cambria" w:cs="Arial"/>
          <w:bCs/>
          <w:szCs w:val="24"/>
        </w:rPr>
        <w:t xml:space="preserve"> </w:t>
      </w:r>
      <w:r w:rsidR="00BD4999">
        <w:rPr>
          <w:rFonts w:ascii="Cambria" w:hAnsi="Cambria" w:cs="Arial"/>
          <w:bCs/>
          <w:szCs w:val="24"/>
        </w:rPr>
        <w:t xml:space="preserve">               </w:t>
      </w:r>
      <w:r>
        <w:rPr>
          <w:rFonts w:ascii="Cambria" w:hAnsi="Cambria" w:cs="Arial"/>
          <w:bCs/>
          <w:szCs w:val="24"/>
        </w:rPr>
        <w:t xml:space="preserve"> ______________________________</w:t>
      </w:r>
    </w:p>
    <w:p w:rsidR="009770DB" w:rsidRDefault="00BD4999" w:rsidP="009770DB">
      <w:pPr>
        <w:ind w:left="34"/>
        <w:jc w:val="both"/>
        <w:rPr>
          <w:rFonts w:ascii="Cambria" w:hAnsi="Cambria" w:cs="Arial"/>
          <w:b/>
          <w:bCs/>
          <w:szCs w:val="24"/>
        </w:rPr>
      </w:pPr>
      <w:r>
        <w:rPr>
          <w:rFonts w:ascii="Cambria" w:hAnsi="Cambria" w:cs="Arial"/>
          <w:b/>
          <w:bCs/>
          <w:szCs w:val="24"/>
        </w:rPr>
        <w:t xml:space="preserve">                        </w:t>
      </w:r>
      <w:r w:rsidR="009770DB">
        <w:rPr>
          <w:rFonts w:ascii="Cambria" w:hAnsi="Cambria" w:cs="Arial"/>
          <w:b/>
          <w:bCs/>
          <w:szCs w:val="24"/>
        </w:rPr>
        <w:t xml:space="preserve"> Elias Chediek</w:t>
      </w:r>
      <w:r w:rsidR="009770DB">
        <w:rPr>
          <w:rFonts w:ascii="Cambria" w:hAnsi="Cambria" w:cs="Arial"/>
          <w:b/>
          <w:bCs/>
          <w:szCs w:val="24"/>
        </w:rPr>
        <w:tab/>
        <w:t xml:space="preserve">                                                       </w:t>
      </w:r>
      <w:r>
        <w:rPr>
          <w:rFonts w:ascii="Cambria" w:hAnsi="Cambria" w:cs="Arial"/>
          <w:b/>
          <w:bCs/>
          <w:szCs w:val="24"/>
        </w:rPr>
        <w:t xml:space="preserve">           </w:t>
      </w:r>
      <w:r w:rsidR="009770DB">
        <w:rPr>
          <w:rFonts w:ascii="Cambria" w:hAnsi="Cambria" w:cs="Arial"/>
          <w:b/>
          <w:bCs/>
          <w:szCs w:val="24"/>
        </w:rPr>
        <w:t>Juliana Damus</w:t>
      </w:r>
    </w:p>
    <w:p w:rsidR="009770DB" w:rsidRDefault="009770DB" w:rsidP="009770DB">
      <w:pPr>
        <w:ind w:right="-374"/>
        <w:rPr>
          <w:rFonts w:ascii="Cambria" w:hAnsi="Cambria" w:cs="Arial"/>
          <w:bCs/>
          <w:szCs w:val="24"/>
        </w:rPr>
      </w:pPr>
      <w:r>
        <w:rPr>
          <w:rFonts w:ascii="Cambria" w:hAnsi="Cambria" w:cs="Arial"/>
          <w:bCs/>
          <w:szCs w:val="24"/>
        </w:rPr>
        <w:t xml:space="preserve">             </w:t>
      </w:r>
      <w:r w:rsidR="00BD4999">
        <w:rPr>
          <w:rFonts w:ascii="Cambria" w:hAnsi="Cambria" w:cs="Arial"/>
          <w:bCs/>
          <w:szCs w:val="24"/>
        </w:rPr>
        <w:t xml:space="preserve">           </w:t>
      </w:r>
      <w:r>
        <w:rPr>
          <w:rFonts w:ascii="Cambria" w:hAnsi="Cambria" w:cs="Arial"/>
          <w:bCs/>
          <w:szCs w:val="24"/>
        </w:rPr>
        <w:t xml:space="preserve">Membro da CTFO                                </w:t>
      </w:r>
      <w:r w:rsidR="00BD4999">
        <w:rPr>
          <w:rFonts w:ascii="Cambria" w:hAnsi="Cambria" w:cs="Arial"/>
          <w:bCs/>
          <w:szCs w:val="24"/>
        </w:rPr>
        <w:t xml:space="preserve">                            </w:t>
      </w:r>
      <w:r>
        <w:rPr>
          <w:rFonts w:ascii="Cambria" w:hAnsi="Cambria" w:cs="Arial"/>
          <w:bCs/>
          <w:szCs w:val="24"/>
        </w:rPr>
        <w:t xml:space="preserve">Membro da CTFO </w:t>
      </w:r>
    </w:p>
    <w:p w:rsidR="009770DB" w:rsidRDefault="009770DB" w:rsidP="009770DB">
      <w:pPr>
        <w:ind w:left="567" w:right="-374"/>
        <w:jc w:val="center"/>
        <w:rPr>
          <w:rFonts w:ascii="Cambria" w:hAnsi="Cambria" w:cs="Arial"/>
          <w:bCs/>
          <w:szCs w:val="24"/>
        </w:rPr>
      </w:pPr>
    </w:p>
    <w:p w:rsidR="009770DB" w:rsidRDefault="009770DB" w:rsidP="009770DB">
      <w:pPr>
        <w:ind w:left="567" w:right="-374"/>
        <w:jc w:val="center"/>
        <w:rPr>
          <w:rFonts w:ascii="Cambria" w:hAnsi="Cambria" w:cs="Arial"/>
          <w:bCs/>
          <w:szCs w:val="24"/>
        </w:rPr>
      </w:pPr>
    </w:p>
    <w:p w:rsidR="009770DB" w:rsidRDefault="009770DB" w:rsidP="009770DB">
      <w:pPr>
        <w:ind w:left="34"/>
        <w:jc w:val="center"/>
        <w:rPr>
          <w:rFonts w:ascii="Cambria" w:hAnsi="Cambria" w:cs="Arial"/>
          <w:bCs/>
          <w:szCs w:val="24"/>
        </w:rPr>
      </w:pPr>
      <w:r>
        <w:rPr>
          <w:rFonts w:ascii="Cambria" w:hAnsi="Cambria" w:cs="Arial"/>
          <w:bCs/>
          <w:szCs w:val="24"/>
        </w:rPr>
        <w:t>______________________________</w:t>
      </w:r>
    </w:p>
    <w:p w:rsidR="009770DB" w:rsidRDefault="009770DB" w:rsidP="009770DB">
      <w:pPr>
        <w:ind w:left="34"/>
        <w:jc w:val="center"/>
        <w:rPr>
          <w:rFonts w:ascii="Cambria" w:hAnsi="Cambria" w:cs="Arial"/>
          <w:b/>
          <w:bCs/>
          <w:szCs w:val="24"/>
        </w:rPr>
      </w:pPr>
      <w:r>
        <w:rPr>
          <w:rFonts w:ascii="Cambria" w:hAnsi="Cambria" w:cs="Arial"/>
          <w:b/>
          <w:bCs/>
          <w:szCs w:val="24"/>
        </w:rPr>
        <w:t>Paulo Landim</w:t>
      </w:r>
    </w:p>
    <w:p w:rsidR="009770DB" w:rsidRDefault="009770DB" w:rsidP="009770DB">
      <w:pPr>
        <w:ind w:left="34"/>
        <w:jc w:val="center"/>
        <w:rPr>
          <w:rFonts w:ascii="Cambria" w:hAnsi="Cambria" w:cs="Arial"/>
          <w:bCs/>
          <w:szCs w:val="24"/>
        </w:rPr>
      </w:pPr>
      <w:r>
        <w:rPr>
          <w:rFonts w:ascii="Cambria" w:hAnsi="Cambria" w:cs="Arial"/>
          <w:b/>
          <w:bCs/>
          <w:szCs w:val="24"/>
        </w:rPr>
        <w:t>Presidente da CJLR</w:t>
      </w:r>
    </w:p>
    <w:p w:rsidR="009770DB" w:rsidRDefault="009770DB" w:rsidP="009770DB">
      <w:pPr>
        <w:ind w:left="34"/>
        <w:jc w:val="center"/>
        <w:rPr>
          <w:rFonts w:ascii="Cambria" w:hAnsi="Cambria" w:cs="Arial"/>
          <w:bCs/>
          <w:szCs w:val="24"/>
        </w:rPr>
      </w:pPr>
    </w:p>
    <w:p w:rsidR="009770DB" w:rsidRDefault="009770DB" w:rsidP="009770DB">
      <w:pPr>
        <w:ind w:left="34"/>
        <w:jc w:val="center"/>
        <w:rPr>
          <w:rFonts w:ascii="Cambria" w:hAnsi="Cambria" w:cs="Arial"/>
          <w:bCs/>
          <w:szCs w:val="24"/>
        </w:rPr>
      </w:pPr>
    </w:p>
    <w:p w:rsidR="009770DB" w:rsidRDefault="009770DB" w:rsidP="009770DB">
      <w:pPr>
        <w:ind w:left="34"/>
        <w:jc w:val="center"/>
        <w:rPr>
          <w:rFonts w:ascii="Cambria" w:hAnsi="Cambria" w:cs="Arial"/>
          <w:bCs/>
          <w:szCs w:val="24"/>
        </w:rPr>
      </w:pPr>
      <w:r>
        <w:rPr>
          <w:rFonts w:ascii="Cambria" w:hAnsi="Cambria" w:cs="Arial"/>
          <w:bCs/>
          <w:szCs w:val="24"/>
        </w:rPr>
        <w:t>______________________________                                             ______________________________</w:t>
      </w:r>
    </w:p>
    <w:p w:rsidR="009770DB" w:rsidRDefault="009770DB" w:rsidP="009770DB">
      <w:pPr>
        <w:rPr>
          <w:rFonts w:ascii="Cambria" w:hAnsi="Cambria" w:cs="Arial"/>
          <w:b/>
          <w:bCs/>
          <w:szCs w:val="24"/>
        </w:rPr>
      </w:pPr>
      <w:r>
        <w:rPr>
          <w:rFonts w:ascii="Cambria" w:hAnsi="Cambria" w:cs="Arial"/>
          <w:b/>
          <w:bCs/>
          <w:szCs w:val="24"/>
        </w:rPr>
        <w:t xml:space="preserve">             </w:t>
      </w:r>
      <w:r w:rsidR="0056308E">
        <w:rPr>
          <w:rFonts w:ascii="Cambria" w:hAnsi="Cambria" w:cs="Arial"/>
          <w:b/>
          <w:bCs/>
          <w:szCs w:val="24"/>
        </w:rPr>
        <w:t xml:space="preserve">    </w:t>
      </w:r>
      <w:r>
        <w:rPr>
          <w:rFonts w:ascii="Cambria" w:hAnsi="Cambria" w:cs="Arial"/>
          <w:b/>
          <w:bCs/>
          <w:szCs w:val="24"/>
        </w:rPr>
        <w:t>José Carlos Porsani                                                              Lucas Grecco</w:t>
      </w:r>
    </w:p>
    <w:p w:rsidR="009770DB" w:rsidRDefault="009770DB" w:rsidP="009770DB">
      <w:pPr>
        <w:ind w:right="-374"/>
        <w:rPr>
          <w:rFonts w:ascii="Cambria" w:hAnsi="Cambria" w:cs="Arial"/>
          <w:szCs w:val="24"/>
        </w:rPr>
      </w:pPr>
      <w:r>
        <w:rPr>
          <w:rFonts w:ascii="Cambria" w:hAnsi="Cambria" w:cs="Arial"/>
          <w:bCs/>
          <w:szCs w:val="24"/>
        </w:rPr>
        <w:t xml:space="preserve">                 </w:t>
      </w:r>
      <w:r w:rsidR="0056308E">
        <w:rPr>
          <w:rFonts w:ascii="Cambria" w:hAnsi="Cambria" w:cs="Arial"/>
          <w:bCs/>
          <w:szCs w:val="24"/>
        </w:rPr>
        <w:t xml:space="preserve">   </w:t>
      </w:r>
      <w:r>
        <w:rPr>
          <w:rFonts w:ascii="Cambria" w:hAnsi="Cambria" w:cs="Arial"/>
          <w:bCs/>
          <w:szCs w:val="24"/>
        </w:rPr>
        <w:t xml:space="preserve">Membro da CJLR                                                               </w:t>
      </w:r>
      <w:r w:rsidR="0056308E">
        <w:rPr>
          <w:rFonts w:ascii="Cambria" w:hAnsi="Cambria" w:cs="Arial"/>
          <w:bCs/>
          <w:szCs w:val="24"/>
        </w:rPr>
        <w:t xml:space="preserve"> </w:t>
      </w:r>
      <w:r>
        <w:rPr>
          <w:rFonts w:ascii="Cambria" w:hAnsi="Cambria" w:cs="Arial"/>
          <w:bCs/>
          <w:szCs w:val="24"/>
        </w:rPr>
        <w:t xml:space="preserve">Membro da CJLR </w:t>
      </w:r>
    </w:p>
    <w:p w:rsidR="004F251B" w:rsidRPr="009770DB" w:rsidRDefault="004F251B" w:rsidP="00E15754">
      <w:pPr>
        <w:autoSpaceDE w:val="0"/>
        <w:autoSpaceDN w:val="0"/>
        <w:spacing w:line="240" w:lineRule="auto"/>
        <w:ind w:left="34"/>
        <w:jc w:val="center"/>
        <w:rPr>
          <w:rFonts w:asciiTheme="minorHAnsi" w:hAnsiTheme="minorHAnsi" w:cstheme="minorHAnsi"/>
          <w:b/>
        </w:rPr>
      </w:pPr>
    </w:p>
    <w:sectPr w:rsidR="004F251B" w:rsidRPr="009770DB"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0A4139"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r w:rsidR="000A4139">
      <w:rPr>
        <w:rFonts w:ascii="Arial" w:hAnsi="Arial"/>
        <w:sz w:val="28"/>
        <w:szCs w:val="32"/>
      </w:rPr>
      <w:t xml:space="preserve"> e Comissão de Tributação, Finanças e Orçamento </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A4139"/>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74D41"/>
    <w:rsid w:val="0048193E"/>
    <w:rsid w:val="00487FA6"/>
    <w:rsid w:val="004B76A2"/>
    <w:rsid w:val="004C0464"/>
    <w:rsid w:val="004C08AB"/>
    <w:rsid w:val="004C1BCF"/>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08E"/>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5DF2"/>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770DB"/>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87E02"/>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499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22D0D"/>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5BBA"/>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73667162">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780686463">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3CB7-A520-434E-82C6-F06030BA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3054</Words>
  <Characters>16494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cp:revision>
  <cp:lastPrinted>2018-06-08T17:01:00Z</cp:lastPrinted>
  <dcterms:created xsi:type="dcterms:W3CDTF">2020-06-25T18:27:00Z</dcterms:created>
  <dcterms:modified xsi:type="dcterms:W3CDTF">2020-06-25T18:39:00Z</dcterms:modified>
</cp:coreProperties>
</file>