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R$ 3.860.136,00 (três milhões, oitocentos e sessenta mil, cento e trinta e seis reais), para atender às despesas com a Secretaria Municipal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FE4" w:rsidRDefault="00B04FE4" w:rsidP="00126850">
      <w:pPr>
        <w:spacing w:line="240" w:lineRule="auto"/>
      </w:pPr>
      <w:r>
        <w:separator/>
      </w:r>
    </w:p>
  </w:endnote>
  <w:endnote w:type="continuationSeparator" w:id="0">
    <w:p w:rsidR="00B04FE4" w:rsidRDefault="00B04F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24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24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FE4" w:rsidRDefault="00B04FE4" w:rsidP="00126850">
      <w:pPr>
        <w:spacing w:line="240" w:lineRule="auto"/>
      </w:pPr>
      <w:r>
        <w:separator/>
      </w:r>
    </w:p>
  </w:footnote>
  <w:footnote w:type="continuationSeparator" w:id="0">
    <w:p w:rsidR="00B04FE4" w:rsidRDefault="00B04F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4FA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FE4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D0EA-20AF-4B8A-A12A-4F2987B1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2020-06-18T19:59:00Z</dcterms:modified>
</cp:coreProperties>
</file>