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R$ 12.000.000,00 (doze milhões de reais), para a execução de reformas e adequações em espaços públicos,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A8" w:rsidRDefault="00082CA8" w:rsidP="00126850">
      <w:pPr>
        <w:spacing w:line="240" w:lineRule="auto"/>
      </w:pPr>
      <w:r>
        <w:separator/>
      </w:r>
    </w:p>
  </w:endnote>
  <w:endnote w:type="continuationSeparator" w:id="0">
    <w:p w:rsidR="00082CA8" w:rsidRDefault="00082C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6B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6B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A8" w:rsidRDefault="00082CA8" w:rsidP="00126850">
      <w:pPr>
        <w:spacing w:line="240" w:lineRule="auto"/>
      </w:pPr>
      <w:r>
        <w:separator/>
      </w:r>
    </w:p>
  </w:footnote>
  <w:footnote w:type="continuationSeparator" w:id="0">
    <w:p w:rsidR="00082CA8" w:rsidRDefault="00082C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CA8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6B51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922B-03AA-46E1-BBC2-CDE140C0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2020-03-13T12:12:00Z</dcterms:modified>
</cp:coreProperties>
</file>