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4C3CB3"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64A1"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A26A"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B227"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4C95"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95C57"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4554"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88FA5"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3F99"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6291A"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6455"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45ED"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5673"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3255"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3C1E"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C0562E">
        <w:rPr>
          <w:rFonts w:ascii="Calibri" w:eastAsia="Arial Unicode MS" w:hAnsi="Calibri" w:cs="Calibri"/>
          <w:b/>
          <w:sz w:val="24"/>
          <w:szCs w:val="24"/>
        </w:rPr>
        <w:t>00</w:t>
      </w:r>
      <w:r w:rsidR="008F602C">
        <w:rPr>
          <w:rFonts w:ascii="Calibri" w:eastAsia="Arial Unicode MS" w:hAnsi="Calibri" w:cs="Calibri"/>
          <w:b/>
          <w:sz w:val="24"/>
          <w:szCs w:val="24"/>
        </w:rPr>
        <w:t>75</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F602C">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FC444E">
        <w:rPr>
          <w:rFonts w:ascii="Calibri" w:eastAsia="Arial Unicode MS" w:hAnsi="Calibri" w:cs="Calibri"/>
          <w:sz w:val="24"/>
          <w:szCs w:val="24"/>
        </w:rPr>
        <w:t>1</w:t>
      </w:r>
      <w:r w:rsidR="008F602C">
        <w:rPr>
          <w:rFonts w:ascii="Calibri" w:eastAsia="Arial Unicode MS" w:hAnsi="Calibri" w:cs="Calibri"/>
          <w:sz w:val="24"/>
          <w:szCs w:val="24"/>
        </w:rPr>
        <w:t>2</w:t>
      </w:r>
      <w:r w:rsidR="00857790" w:rsidRPr="00C53FB1">
        <w:rPr>
          <w:rFonts w:ascii="Calibri" w:eastAsia="Arial Unicode MS" w:hAnsi="Calibri" w:cs="Calibri"/>
          <w:sz w:val="24"/>
          <w:szCs w:val="24"/>
        </w:rPr>
        <w:t xml:space="preserve"> de </w:t>
      </w:r>
      <w:r w:rsidR="008F602C">
        <w:rPr>
          <w:rFonts w:ascii="Calibri" w:eastAsia="Arial Unicode MS" w:hAnsi="Calibri" w:cs="Calibri"/>
          <w:sz w:val="24"/>
          <w:szCs w:val="24"/>
        </w:rPr>
        <w:t>març</w:t>
      </w:r>
      <w:r w:rsidR="00AC2D21">
        <w:rPr>
          <w:rFonts w:ascii="Calibri" w:eastAsia="Arial Unicode MS" w:hAnsi="Calibri" w:cs="Calibri"/>
          <w:sz w:val="24"/>
          <w:szCs w:val="24"/>
        </w:rPr>
        <w:t xml:space="preserve">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582ECC" w:rsidRPr="00582ECC" w:rsidRDefault="00CC04DE" w:rsidP="00582ECC">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apreciado pelo nobre Poder Legislativo, o </w:t>
      </w:r>
      <w:r w:rsidR="001531F0" w:rsidRPr="00D2004C">
        <w:rPr>
          <w:rFonts w:asciiTheme="minorHAnsi" w:hAnsiTheme="minorHAnsi" w:cs="Calibri"/>
          <w:color w:val="000000"/>
          <w:sz w:val="24"/>
          <w:szCs w:val="24"/>
        </w:rPr>
        <w:t xml:space="preserve">incluso </w:t>
      </w:r>
      <w:r w:rsidR="00582ECC" w:rsidRPr="00582ECC">
        <w:rPr>
          <w:rFonts w:asciiTheme="minorHAnsi" w:hAnsiTheme="minorHAnsi" w:cs="Calibri"/>
          <w:color w:val="000000"/>
          <w:sz w:val="24"/>
          <w:szCs w:val="24"/>
        </w:rPr>
        <w:t xml:space="preserve">Projeto de Lei que dispõe sobre a abertura de um </w:t>
      </w:r>
      <w:r w:rsidR="00582ECC">
        <w:rPr>
          <w:rFonts w:asciiTheme="minorHAnsi" w:hAnsiTheme="minorHAnsi" w:cs="Calibri"/>
          <w:color w:val="000000"/>
          <w:sz w:val="24"/>
          <w:szCs w:val="24"/>
        </w:rPr>
        <w:t>crédito adicional e</w:t>
      </w:r>
      <w:r w:rsidR="00582ECC" w:rsidRPr="00582ECC">
        <w:rPr>
          <w:rFonts w:asciiTheme="minorHAnsi" w:hAnsiTheme="minorHAnsi" w:cs="Calibri"/>
          <w:color w:val="000000"/>
          <w:sz w:val="24"/>
          <w:szCs w:val="24"/>
        </w:rPr>
        <w:t xml:space="preserve">special </w:t>
      </w:r>
      <w:r w:rsidR="00AA77B4">
        <w:rPr>
          <w:rFonts w:ascii="Calibri" w:hAnsi="Calibri" w:cs="Calibri"/>
          <w:sz w:val="24"/>
          <w:szCs w:val="24"/>
        </w:rPr>
        <w:t xml:space="preserve">no valor de </w:t>
      </w:r>
      <w:r w:rsidR="00AA77B4" w:rsidRPr="003D65E4">
        <w:rPr>
          <w:rFonts w:ascii="Calibri" w:hAnsi="Calibri" w:cs="Calibri"/>
          <w:sz w:val="24"/>
          <w:szCs w:val="24"/>
        </w:rPr>
        <w:t>R$ 53.299.372,03 (cinquenta e três milhões, duzentos e noventa e nove mil, trezentos e setenta e dois reais e três centavos)</w:t>
      </w:r>
      <w:r w:rsidR="00CF0369">
        <w:rPr>
          <w:rFonts w:ascii="Calibri" w:hAnsi="Calibri" w:cs="Calibri"/>
          <w:sz w:val="24"/>
          <w:szCs w:val="24"/>
        </w:rPr>
        <w:t>, e dá outras providências</w:t>
      </w:r>
      <w:r w:rsidR="00582ECC" w:rsidRPr="00582ECC">
        <w:rPr>
          <w:rFonts w:asciiTheme="minorHAnsi" w:hAnsiTheme="minorHAnsi" w:cs="Calibri"/>
          <w:color w:val="000000"/>
          <w:sz w:val="24"/>
          <w:szCs w:val="24"/>
        </w:rPr>
        <w:t xml:space="preserve">. </w:t>
      </w:r>
    </w:p>
    <w:p w:rsidR="00AA77B4" w:rsidRPr="00723D9A" w:rsidRDefault="00AA77B4" w:rsidP="00AA77B4">
      <w:pPr>
        <w:spacing w:before="120" w:after="120"/>
        <w:ind w:firstLine="1418"/>
        <w:jc w:val="both"/>
        <w:rPr>
          <w:rFonts w:ascii="Calibri" w:hAnsi="Calibri" w:cs="Arial"/>
          <w:color w:val="000000"/>
          <w:sz w:val="24"/>
          <w:szCs w:val="24"/>
        </w:rPr>
      </w:pPr>
      <w:r w:rsidRPr="00AA77B4">
        <w:rPr>
          <w:rFonts w:asciiTheme="minorHAnsi" w:hAnsiTheme="minorHAnsi" w:cs="Calibri"/>
          <w:color w:val="000000"/>
          <w:sz w:val="24"/>
          <w:szCs w:val="24"/>
        </w:rPr>
        <w:t xml:space="preserve">Esta propositura </w:t>
      </w:r>
      <w:r w:rsidR="00582ECC" w:rsidRPr="00AA77B4">
        <w:rPr>
          <w:rFonts w:asciiTheme="minorHAnsi" w:hAnsiTheme="minorHAnsi" w:cs="Calibri"/>
          <w:color w:val="000000"/>
          <w:sz w:val="24"/>
          <w:szCs w:val="24"/>
        </w:rPr>
        <w:t>visa</w:t>
      </w:r>
      <w:r w:rsidRPr="00AA77B4">
        <w:rPr>
          <w:rFonts w:asciiTheme="minorHAnsi" w:hAnsiTheme="minorHAnsi" w:cs="Calibri"/>
          <w:color w:val="000000"/>
          <w:sz w:val="24"/>
          <w:szCs w:val="24"/>
        </w:rPr>
        <w:t xml:space="preserve"> à inclusão, </w:t>
      </w:r>
      <w:r w:rsidR="00582ECC" w:rsidRPr="00AA77B4">
        <w:rPr>
          <w:rFonts w:asciiTheme="minorHAnsi" w:hAnsiTheme="minorHAnsi" w:cs="Calibri"/>
          <w:color w:val="000000"/>
          <w:sz w:val="24"/>
          <w:szCs w:val="24"/>
        </w:rPr>
        <w:t>no orçamento do exercício de 2020</w:t>
      </w:r>
      <w:r w:rsidRPr="00AA77B4">
        <w:rPr>
          <w:rFonts w:asciiTheme="minorHAnsi" w:hAnsiTheme="minorHAnsi" w:cs="Calibri"/>
          <w:color w:val="000000"/>
          <w:sz w:val="24"/>
          <w:szCs w:val="24"/>
        </w:rPr>
        <w:t>, d</w:t>
      </w:r>
      <w:r w:rsidR="00582ECC" w:rsidRPr="00AA77B4">
        <w:rPr>
          <w:rFonts w:asciiTheme="minorHAnsi" w:hAnsiTheme="minorHAnsi" w:cs="Calibri"/>
          <w:color w:val="000000"/>
          <w:sz w:val="24"/>
          <w:szCs w:val="24"/>
        </w:rPr>
        <w:t xml:space="preserve">a operação de </w:t>
      </w:r>
      <w:r w:rsidR="00582ECC" w:rsidRPr="00723D9A">
        <w:rPr>
          <w:rFonts w:asciiTheme="minorHAnsi" w:hAnsiTheme="minorHAnsi" w:cs="Calibri"/>
          <w:color w:val="000000"/>
          <w:sz w:val="24"/>
          <w:szCs w:val="24"/>
        </w:rPr>
        <w:t xml:space="preserve">crédito junto </w:t>
      </w:r>
      <w:r w:rsidRPr="00723D9A">
        <w:rPr>
          <w:rFonts w:asciiTheme="minorHAnsi" w:hAnsiTheme="minorHAnsi" w:cs="Calibri"/>
          <w:color w:val="000000"/>
          <w:sz w:val="24"/>
          <w:szCs w:val="24"/>
        </w:rPr>
        <w:t>à Caixa Econômica Federal</w:t>
      </w:r>
      <w:r w:rsidR="00582ECC" w:rsidRPr="00723D9A">
        <w:rPr>
          <w:rFonts w:asciiTheme="minorHAnsi" w:hAnsiTheme="minorHAnsi" w:cs="Calibri"/>
          <w:color w:val="000000"/>
          <w:sz w:val="24"/>
          <w:szCs w:val="24"/>
        </w:rPr>
        <w:t>, autorizada pelo Poder Legislativo</w:t>
      </w:r>
      <w:r w:rsidRPr="00723D9A">
        <w:rPr>
          <w:rFonts w:asciiTheme="minorHAnsi" w:hAnsiTheme="minorHAnsi" w:cs="Calibri"/>
          <w:color w:val="000000"/>
          <w:sz w:val="24"/>
          <w:szCs w:val="24"/>
        </w:rPr>
        <w:t xml:space="preserve"> quando da aprovação da </w:t>
      </w:r>
      <w:r w:rsidRPr="00723D9A">
        <w:rPr>
          <w:rFonts w:ascii="Calibri" w:hAnsi="Calibri" w:cs="Calibri"/>
          <w:sz w:val="24"/>
          <w:szCs w:val="24"/>
        </w:rPr>
        <w:t>Lei nº 9.906, de 4 de março de 2020</w:t>
      </w:r>
      <w:r w:rsidR="00582ECC" w:rsidRPr="00723D9A">
        <w:rPr>
          <w:rFonts w:asciiTheme="minorHAnsi" w:hAnsiTheme="minorHAnsi" w:cs="Calibri"/>
          <w:color w:val="000000"/>
          <w:sz w:val="24"/>
          <w:szCs w:val="24"/>
        </w:rPr>
        <w:t xml:space="preserve">. </w:t>
      </w:r>
      <w:r w:rsidRPr="00723D9A">
        <w:rPr>
          <w:rFonts w:asciiTheme="minorHAnsi" w:hAnsiTheme="minorHAnsi" w:cs="Calibri"/>
          <w:color w:val="000000"/>
          <w:sz w:val="24"/>
          <w:szCs w:val="24"/>
        </w:rPr>
        <w:t xml:space="preserve">A mencionada operação de crédito tem </w:t>
      </w:r>
      <w:r w:rsidRPr="00723D9A">
        <w:rPr>
          <w:rFonts w:ascii="Calibri" w:hAnsi="Calibri" w:cs="Calibri"/>
          <w:color w:val="000000"/>
          <w:sz w:val="24"/>
          <w:szCs w:val="24"/>
        </w:rPr>
        <w:t xml:space="preserve">por objetivo viabilizar a instalação, na rede pública de iluminação municipal, </w:t>
      </w:r>
      <w:r w:rsidR="009460E9">
        <w:rPr>
          <w:rFonts w:ascii="Calibri" w:hAnsi="Calibri" w:cs="Calibri"/>
          <w:color w:val="000000"/>
          <w:sz w:val="24"/>
          <w:szCs w:val="24"/>
        </w:rPr>
        <w:t xml:space="preserve">de </w:t>
      </w:r>
      <w:r w:rsidRPr="00723D9A">
        <w:rPr>
          <w:rFonts w:ascii="Calibri" w:hAnsi="Calibri" w:cs="Arial"/>
          <w:color w:val="000000"/>
          <w:sz w:val="24"/>
          <w:szCs w:val="24"/>
        </w:rPr>
        <w:t xml:space="preserve">luminárias com tecnologia diodos emissores de luz (LED) nas demais localidades do Município que não haviam sido contempladas no projeto apresentado na operação de crédito autorizada por meio da Lei nº 9.825, de 4 de dezembro de 2019. </w:t>
      </w:r>
    </w:p>
    <w:p w:rsidR="00CC04DE" w:rsidRPr="00BE4DA8" w:rsidRDefault="00CC04DE" w:rsidP="00582ECC">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E61E5D" w:rsidRDefault="00E61E5D" w:rsidP="00A86092">
      <w:pPr>
        <w:spacing w:before="120" w:after="120"/>
        <w:ind w:firstLine="1418"/>
        <w:jc w:val="both"/>
        <w:rPr>
          <w:rFonts w:ascii="Calibri" w:hAnsi="Calibri" w:cs="Calibri"/>
          <w:sz w:val="24"/>
          <w:szCs w:val="24"/>
        </w:rPr>
      </w:pPr>
    </w:p>
    <w:p w:rsidR="00A35CB7"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Atenciosamente,</w:t>
      </w:r>
    </w:p>
    <w:p w:rsidR="009A59CC" w:rsidRDefault="009A59CC" w:rsidP="00A86092">
      <w:pPr>
        <w:spacing w:before="120" w:after="120"/>
        <w:ind w:firstLine="1418"/>
        <w:jc w:val="both"/>
        <w:rPr>
          <w:rFonts w:ascii="Calibri" w:hAnsi="Calibri" w:cs="Calibri"/>
          <w:sz w:val="24"/>
          <w:szCs w:val="24"/>
        </w:rPr>
      </w:pPr>
    </w:p>
    <w:p w:rsidR="000F5EE1" w:rsidRDefault="00961FE5" w:rsidP="00C14E25">
      <w:pPr>
        <w:spacing w:before="120" w:after="120"/>
        <w:jc w:val="center"/>
        <w:rPr>
          <w:rFonts w:ascii="Calibri" w:hAnsi="Calibri" w:cs="Calibri"/>
          <w:b/>
          <w:sz w:val="24"/>
          <w:szCs w:val="24"/>
        </w:rPr>
      </w:pPr>
      <w:r>
        <w:rPr>
          <w:rFonts w:ascii="Calibri" w:hAnsi="Calibri" w:cs="Calibri"/>
          <w:noProof/>
          <w:sz w:val="24"/>
          <w:szCs w:val="24"/>
        </w:rPr>
        <w:drawing>
          <wp:anchor distT="0" distB="0" distL="114300" distR="114300" simplePos="0" relativeHeight="25165670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8" name="Imagem 8"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54656"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7" name="Imagem 7"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76672"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5" name="Imagem 5"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857790"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187AEB">
      <w:pPr>
        <w:jc w:val="center"/>
        <w:rPr>
          <w:rFonts w:ascii="Calibri" w:hAnsi="Calibri" w:cs="Calibri"/>
          <w:b/>
          <w:sz w:val="24"/>
          <w:szCs w:val="24"/>
        </w:rPr>
      </w:pPr>
      <w:r>
        <w:rPr>
          <w:rFonts w:ascii="Calibri" w:hAnsi="Calibri" w:cs="Calibri"/>
          <w:b/>
          <w:sz w:val="24"/>
          <w:szCs w:val="24"/>
          <w:u w:val="single"/>
        </w:rPr>
        <w:br w:type="page"/>
      </w:r>
      <w:r w:rsidR="00E028ED" w:rsidRPr="00A82693">
        <w:rPr>
          <w:rFonts w:ascii="Calibri" w:hAnsi="Calibri"/>
          <w:b/>
          <w:noProof/>
          <w:sz w:val="24"/>
          <w:szCs w:val="24"/>
        </w:rPr>
        <w:lastRenderedPageBreak/>
        <w:drawing>
          <wp:anchor distT="0" distB="0" distL="114300" distR="114300" simplePos="0" relativeHeight="251669504" behindDoc="1" locked="0" layoutInCell="1" allowOverlap="1">
            <wp:simplePos x="0" y="0"/>
            <wp:positionH relativeFrom="column">
              <wp:posOffset>547370</wp:posOffset>
            </wp:positionH>
            <wp:positionV relativeFrom="paragraph">
              <wp:posOffset>8930640</wp:posOffset>
            </wp:positionV>
            <wp:extent cx="1600200" cy="1131570"/>
            <wp:effectExtent l="0" t="0" r="0" b="0"/>
            <wp:wrapNone/>
            <wp:docPr id="22" name="Imagem 22"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SINATURA-PREFEITO"/>
                    <pic:cNvPicPr>
                      <a:picLocks noChangeAspect="1" noChangeArrowheads="1"/>
                    </pic:cNvPicPr>
                  </pic:nvPicPr>
                  <pic:blipFill>
                    <a:blip r:embed="rId8"/>
                    <a:srcRect/>
                    <a:stretch>
                      <a:fillRect/>
                    </a:stretch>
                  </pic:blipFill>
                  <pic:spPr bwMode="auto">
                    <a:xfrm rot="-2271594">
                      <a:off x="0" y="0"/>
                      <a:ext cx="1600200" cy="1131570"/>
                    </a:xfrm>
                    <a:prstGeom prst="rect">
                      <a:avLst/>
                    </a:prstGeom>
                    <a:noFill/>
                    <a:ln w="9525">
                      <a:noFill/>
                      <a:miter lim="800000"/>
                      <a:headEnd/>
                      <a:tailEnd/>
                    </a:ln>
                  </pic:spPr>
                </pic:pic>
              </a:graphicData>
            </a:graphic>
          </wp:anchor>
        </w:drawing>
      </w:r>
      <w:r w:rsidR="00CC04DE" w:rsidRPr="00A82693">
        <w:rPr>
          <w:rFonts w:ascii="Calibri" w:hAnsi="Calibri" w:cs="Calibri"/>
          <w:b/>
          <w:sz w:val="24"/>
          <w:szCs w:val="24"/>
        </w:rPr>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B26AAF">
        <w:rPr>
          <w:rFonts w:ascii="Calibri" w:hAnsi="Calibri" w:cs="Calibri"/>
          <w:sz w:val="22"/>
          <w:szCs w:val="22"/>
        </w:rPr>
        <w:t>especial</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A82693" w:rsidRDefault="00CC04DE" w:rsidP="00A82693">
      <w:pPr>
        <w:spacing w:before="120" w:after="120"/>
        <w:ind w:firstLine="1418"/>
        <w:jc w:val="both"/>
        <w:rPr>
          <w:rFonts w:ascii="Calibri" w:hAnsi="Calibri" w:cs="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B2832" w:rsidRPr="0095121E">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B26AAF">
        <w:rPr>
          <w:rFonts w:ascii="Calibri" w:hAnsi="Calibri"/>
          <w:sz w:val="24"/>
          <w:szCs w:val="24"/>
        </w:rPr>
        <w:t>especial</w:t>
      </w:r>
      <w:r w:rsidR="00BA7421">
        <w:rPr>
          <w:rFonts w:ascii="Calibri" w:hAnsi="Calibri"/>
          <w:sz w:val="24"/>
          <w:szCs w:val="24"/>
        </w:rPr>
        <w:t>,</w:t>
      </w:r>
      <w:r w:rsidR="00D43D7E" w:rsidRPr="0095121E">
        <w:rPr>
          <w:rFonts w:ascii="Calibri" w:hAnsi="Calibri"/>
          <w:sz w:val="24"/>
          <w:szCs w:val="24"/>
        </w:rPr>
        <w:t xml:space="preserve"> </w:t>
      </w:r>
      <w:r w:rsidR="007C3985">
        <w:rPr>
          <w:rFonts w:ascii="Calibri" w:hAnsi="Calibri"/>
          <w:sz w:val="24"/>
          <w:szCs w:val="24"/>
        </w:rPr>
        <w:t>n</w:t>
      </w:r>
      <w:r w:rsidR="003D65E4">
        <w:rPr>
          <w:rFonts w:ascii="Calibri" w:hAnsi="Calibri" w:cs="Calibri"/>
          <w:sz w:val="24"/>
          <w:szCs w:val="24"/>
        </w:rPr>
        <w:t xml:space="preserve">o valor de </w:t>
      </w:r>
      <w:r w:rsidR="003D65E4" w:rsidRPr="003D65E4">
        <w:rPr>
          <w:rFonts w:ascii="Calibri" w:hAnsi="Calibri" w:cs="Calibri"/>
          <w:sz w:val="24"/>
          <w:szCs w:val="24"/>
        </w:rPr>
        <w:t>R$ 53.299.372,03 (cinquenta e três milhões, duzentos e noventa e nove mil, trezentos e setenta e dois reais e três centavos), a fim de incluir no orçamento a operação de crédito autorizada pela Lei</w:t>
      </w:r>
      <w:r w:rsidR="003D65E4">
        <w:rPr>
          <w:rFonts w:ascii="Calibri" w:hAnsi="Calibri" w:cs="Calibri"/>
          <w:sz w:val="24"/>
          <w:szCs w:val="24"/>
        </w:rPr>
        <w:t xml:space="preserve"> nº</w:t>
      </w:r>
      <w:r w:rsidR="003D65E4" w:rsidRPr="003D65E4">
        <w:rPr>
          <w:rFonts w:ascii="Calibri" w:hAnsi="Calibri" w:cs="Calibri"/>
          <w:sz w:val="24"/>
          <w:szCs w:val="24"/>
        </w:rPr>
        <w:t xml:space="preserve"> 9.906</w:t>
      </w:r>
      <w:r w:rsidR="003D65E4">
        <w:rPr>
          <w:rFonts w:ascii="Calibri" w:hAnsi="Calibri" w:cs="Calibri"/>
          <w:sz w:val="24"/>
          <w:szCs w:val="24"/>
        </w:rPr>
        <w:t>, de 4 de m</w:t>
      </w:r>
      <w:r w:rsidR="003D65E4" w:rsidRPr="003D65E4">
        <w:rPr>
          <w:rFonts w:ascii="Calibri" w:hAnsi="Calibri" w:cs="Calibri"/>
          <w:sz w:val="24"/>
          <w:szCs w:val="24"/>
        </w:rPr>
        <w:t>arço de 2020, que visa modernizar, expandir e melhorar a eficiência da rede de iluminação pública municipal, conforme demonstrado abaixo</w:t>
      </w:r>
      <w:r w:rsidR="003D65E4">
        <w:rPr>
          <w:rFonts w:ascii="Calibri" w:hAnsi="Calibri" w:cs="Calibri"/>
          <w:sz w:val="24"/>
          <w:szCs w:val="24"/>
        </w:rPr>
        <w:t>:</w:t>
      </w:r>
    </w:p>
    <w:tbl>
      <w:tblPr>
        <w:tblW w:w="9219" w:type="dxa"/>
        <w:jc w:val="center"/>
        <w:tblCellMar>
          <w:left w:w="70" w:type="dxa"/>
          <w:right w:w="70" w:type="dxa"/>
        </w:tblCellMar>
        <w:tblLook w:val="04A0" w:firstRow="1" w:lastRow="0" w:firstColumn="1" w:lastColumn="0" w:noHBand="0" w:noVBand="1"/>
      </w:tblPr>
      <w:tblGrid>
        <w:gridCol w:w="2132"/>
        <w:gridCol w:w="4819"/>
        <w:gridCol w:w="2268"/>
      </w:tblGrid>
      <w:tr w:rsidR="003D65E4" w:rsidRPr="003D65E4" w:rsidTr="003D65E4">
        <w:trPr>
          <w:trHeight w:val="315"/>
          <w:jc w:val="center"/>
        </w:trPr>
        <w:tc>
          <w:tcPr>
            <w:tcW w:w="2132" w:type="dxa"/>
            <w:tcBorders>
              <w:top w:val="single" w:sz="4" w:space="0" w:color="auto"/>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bCs/>
                <w:color w:val="000000"/>
                <w:sz w:val="24"/>
                <w:szCs w:val="24"/>
              </w:rPr>
            </w:pPr>
            <w:r w:rsidRPr="003D65E4">
              <w:rPr>
                <w:rFonts w:ascii="Calibri" w:hAnsi="Calibri"/>
                <w:bCs/>
                <w:color w:val="000000"/>
                <w:sz w:val="24"/>
                <w:szCs w:val="24"/>
              </w:rPr>
              <w:t>02</w:t>
            </w:r>
          </w:p>
        </w:tc>
        <w:tc>
          <w:tcPr>
            <w:tcW w:w="7087" w:type="dxa"/>
            <w:gridSpan w:val="2"/>
            <w:tcBorders>
              <w:top w:val="single" w:sz="4" w:space="0" w:color="auto"/>
              <w:left w:val="nil"/>
              <w:bottom w:val="single" w:sz="4" w:space="0" w:color="auto"/>
              <w:right w:val="single" w:sz="4" w:space="0" w:color="auto"/>
            </w:tcBorders>
            <w:hideMark/>
          </w:tcPr>
          <w:p w:rsidR="003D65E4" w:rsidRPr="003D65E4" w:rsidRDefault="003D65E4" w:rsidP="003D65E4">
            <w:pPr>
              <w:jc w:val="both"/>
              <w:rPr>
                <w:rFonts w:ascii="Calibri" w:hAnsi="Calibri"/>
                <w:bCs/>
                <w:color w:val="000000"/>
                <w:sz w:val="24"/>
                <w:szCs w:val="24"/>
              </w:rPr>
            </w:pPr>
            <w:r w:rsidRPr="003D65E4">
              <w:rPr>
                <w:rFonts w:ascii="Calibri" w:hAnsi="Calibri"/>
                <w:bCs/>
                <w:color w:val="000000"/>
                <w:sz w:val="24"/>
                <w:szCs w:val="24"/>
              </w:rPr>
              <w:t>PODER EXECUTIVO</w:t>
            </w:r>
          </w:p>
        </w:tc>
      </w:tr>
      <w:tr w:rsidR="003D65E4" w:rsidRPr="003D65E4" w:rsidTr="003D65E4">
        <w:trPr>
          <w:trHeight w:val="30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bCs/>
                <w:color w:val="000000"/>
                <w:sz w:val="24"/>
                <w:szCs w:val="24"/>
              </w:rPr>
            </w:pPr>
            <w:r w:rsidRPr="003D65E4">
              <w:rPr>
                <w:rFonts w:ascii="Calibri" w:hAnsi="Calibri"/>
                <w:bCs/>
                <w:color w:val="000000"/>
                <w:sz w:val="24"/>
                <w:szCs w:val="24"/>
              </w:rPr>
              <w:t>02.08</w:t>
            </w:r>
          </w:p>
        </w:tc>
        <w:tc>
          <w:tcPr>
            <w:tcW w:w="7087" w:type="dxa"/>
            <w:gridSpan w:val="2"/>
            <w:tcBorders>
              <w:top w:val="single" w:sz="4" w:space="0" w:color="auto"/>
              <w:left w:val="nil"/>
              <w:bottom w:val="single" w:sz="4" w:space="0" w:color="auto"/>
              <w:right w:val="single" w:sz="4" w:space="0" w:color="auto"/>
            </w:tcBorders>
            <w:hideMark/>
          </w:tcPr>
          <w:p w:rsidR="003D65E4" w:rsidRPr="003D65E4" w:rsidRDefault="003D65E4" w:rsidP="003D65E4">
            <w:pPr>
              <w:jc w:val="both"/>
              <w:rPr>
                <w:rFonts w:ascii="Calibri" w:hAnsi="Calibri"/>
                <w:bCs/>
                <w:color w:val="000000"/>
                <w:sz w:val="24"/>
                <w:szCs w:val="24"/>
              </w:rPr>
            </w:pPr>
            <w:r w:rsidRPr="003D65E4">
              <w:rPr>
                <w:rFonts w:ascii="Calibri" w:hAnsi="Calibri"/>
                <w:bCs/>
                <w:color w:val="000000"/>
                <w:sz w:val="24"/>
                <w:szCs w:val="24"/>
              </w:rPr>
              <w:t>SECRETARIA MUNICIPAL DE OBRAS E SERVIÇOS PÚBLICOS</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bCs/>
                <w:color w:val="000000"/>
                <w:sz w:val="24"/>
                <w:szCs w:val="24"/>
              </w:rPr>
            </w:pPr>
            <w:r w:rsidRPr="003D65E4">
              <w:rPr>
                <w:rFonts w:ascii="Calibri" w:hAnsi="Calibri"/>
                <w:bCs/>
                <w:color w:val="000000"/>
                <w:sz w:val="24"/>
                <w:szCs w:val="24"/>
              </w:rPr>
              <w:t>02.08.02</w:t>
            </w:r>
          </w:p>
        </w:tc>
        <w:tc>
          <w:tcPr>
            <w:tcW w:w="7087" w:type="dxa"/>
            <w:gridSpan w:val="2"/>
            <w:tcBorders>
              <w:top w:val="single" w:sz="4" w:space="0" w:color="auto"/>
              <w:left w:val="nil"/>
              <w:bottom w:val="single" w:sz="4" w:space="0" w:color="auto"/>
              <w:right w:val="single" w:sz="4" w:space="0" w:color="auto"/>
            </w:tcBorders>
            <w:hideMark/>
          </w:tcPr>
          <w:p w:rsidR="003D65E4" w:rsidRPr="003D65E4" w:rsidRDefault="003D65E4" w:rsidP="003D65E4">
            <w:pPr>
              <w:jc w:val="both"/>
              <w:rPr>
                <w:rFonts w:ascii="Calibri" w:hAnsi="Calibri"/>
                <w:bCs/>
                <w:color w:val="000000"/>
                <w:sz w:val="24"/>
                <w:szCs w:val="24"/>
              </w:rPr>
            </w:pPr>
            <w:r w:rsidRPr="003D65E4">
              <w:rPr>
                <w:rFonts w:ascii="Calibri" w:hAnsi="Calibri"/>
                <w:bCs/>
                <w:color w:val="000000"/>
                <w:sz w:val="24"/>
                <w:szCs w:val="24"/>
              </w:rPr>
              <w:t>COORDENADORIA EXECUTIVA DE SERVIÇOS PÚBLICOS</w:t>
            </w:r>
          </w:p>
        </w:tc>
      </w:tr>
      <w:tr w:rsidR="003D65E4" w:rsidRPr="003D65E4" w:rsidTr="003D65E4">
        <w:trPr>
          <w:trHeight w:val="315"/>
          <w:jc w:val="center"/>
        </w:trPr>
        <w:tc>
          <w:tcPr>
            <w:tcW w:w="9219" w:type="dxa"/>
            <w:gridSpan w:val="3"/>
            <w:tcBorders>
              <w:top w:val="single" w:sz="4" w:space="0" w:color="auto"/>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bCs/>
                <w:color w:val="000000"/>
                <w:sz w:val="24"/>
                <w:szCs w:val="24"/>
              </w:rPr>
            </w:pPr>
            <w:r w:rsidRPr="003D65E4">
              <w:rPr>
                <w:rFonts w:ascii="Calibri" w:hAnsi="Calibri"/>
                <w:bCs/>
                <w:color w:val="000000"/>
                <w:sz w:val="24"/>
                <w:szCs w:val="24"/>
              </w:rPr>
              <w:t>FUNCIONAL PROGRAMÁTICA</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15</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URBANISMO</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15.452</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SERVIÇOS URBANOS</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w:t>
            </w:r>
          </w:p>
        </w:tc>
      </w:tr>
      <w:tr w:rsidR="003D65E4" w:rsidRPr="003D65E4" w:rsidTr="003D65E4">
        <w:trPr>
          <w:trHeight w:val="77"/>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15.452.0071</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ILUMINAÇÃO PÚBLICA</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15.452.0071.1</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PROJETO</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w:t>
            </w:r>
          </w:p>
        </w:tc>
      </w:tr>
      <w:tr w:rsidR="003D65E4" w:rsidRPr="003D65E4" w:rsidTr="003D65E4">
        <w:trPr>
          <w:trHeight w:val="630"/>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15.452.0071.1.137</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FINANCIAMENTO À INFRAESTRUTURA E AO SANEAMENTO – CAIXA ILUMINA</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xml:space="preserve"> R$    53.299.372,03</w:t>
            </w:r>
          </w:p>
        </w:tc>
      </w:tr>
      <w:tr w:rsidR="003D65E4" w:rsidRPr="003D65E4" w:rsidTr="003D65E4">
        <w:trPr>
          <w:trHeight w:val="315"/>
          <w:jc w:val="center"/>
        </w:trPr>
        <w:tc>
          <w:tcPr>
            <w:tcW w:w="9219" w:type="dxa"/>
            <w:gridSpan w:val="3"/>
            <w:tcBorders>
              <w:top w:val="single" w:sz="4" w:space="0" w:color="auto"/>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bCs/>
                <w:color w:val="000000"/>
                <w:sz w:val="24"/>
                <w:szCs w:val="24"/>
              </w:rPr>
            </w:pPr>
            <w:r w:rsidRPr="003D65E4">
              <w:rPr>
                <w:rFonts w:ascii="Calibri" w:hAnsi="Calibri"/>
                <w:bCs/>
                <w:color w:val="000000"/>
                <w:sz w:val="24"/>
                <w:szCs w:val="24"/>
              </w:rPr>
              <w:t>CATEGORIA ECONÔMICA</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jc w:val="right"/>
              <w:rPr>
                <w:rFonts w:ascii="Calibri" w:hAnsi="Calibri"/>
                <w:color w:val="000000"/>
                <w:sz w:val="24"/>
                <w:szCs w:val="24"/>
              </w:rPr>
            </w:pPr>
            <w:r w:rsidRPr="003D65E4">
              <w:rPr>
                <w:rFonts w:ascii="Calibri" w:hAnsi="Calibri"/>
                <w:color w:val="000000"/>
                <w:sz w:val="24"/>
                <w:szCs w:val="24"/>
              </w:rPr>
              <w:t>4.4.90.51</w:t>
            </w:r>
          </w:p>
        </w:tc>
        <w:tc>
          <w:tcPr>
            <w:tcW w:w="4819" w:type="dxa"/>
            <w:tcBorders>
              <w:top w:val="nil"/>
              <w:left w:val="nil"/>
              <w:bottom w:val="single" w:sz="4" w:space="0" w:color="auto"/>
              <w:right w:val="single" w:sz="4" w:space="0" w:color="auto"/>
            </w:tcBorders>
            <w:vAlign w:val="center"/>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OBRAS E INSTALAÇÕES</w:t>
            </w:r>
          </w:p>
        </w:tc>
        <w:tc>
          <w:tcPr>
            <w:tcW w:w="2268" w:type="dxa"/>
            <w:tcBorders>
              <w:top w:val="nil"/>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 xml:space="preserve"> R$    53.299.372,03</w:t>
            </w:r>
          </w:p>
        </w:tc>
      </w:tr>
      <w:tr w:rsidR="003D65E4" w:rsidRPr="003D65E4" w:rsidTr="003D65E4">
        <w:trPr>
          <w:trHeight w:val="315"/>
          <w:jc w:val="center"/>
        </w:trPr>
        <w:tc>
          <w:tcPr>
            <w:tcW w:w="2132" w:type="dxa"/>
            <w:tcBorders>
              <w:top w:val="nil"/>
              <w:left w:val="single" w:sz="4" w:space="0" w:color="auto"/>
              <w:bottom w:val="single" w:sz="4" w:space="0" w:color="auto"/>
              <w:right w:val="single" w:sz="4" w:space="0" w:color="auto"/>
            </w:tcBorders>
            <w:noWrap/>
            <w:hideMark/>
          </w:tcPr>
          <w:p w:rsidR="003D65E4" w:rsidRPr="003D65E4" w:rsidRDefault="003D65E4" w:rsidP="003D65E4">
            <w:pPr>
              <w:rPr>
                <w:rFonts w:ascii="Calibri" w:hAnsi="Calibri"/>
                <w:color w:val="000000"/>
                <w:sz w:val="24"/>
                <w:szCs w:val="24"/>
              </w:rPr>
            </w:pPr>
            <w:r w:rsidRPr="003D65E4">
              <w:rPr>
                <w:rFonts w:ascii="Calibri" w:hAnsi="Calibri"/>
                <w:color w:val="000000"/>
                <w:sz w:val="24"/>
                <w:szCs w:val="24"/>
              </w:rPr>
              <w:t>FONTE DE RECURSO</w:t>
            </w:r>
          </w:p>
        </w:tc>
        <w:tc>
          <w:tcPr>
            <w:tcW w:w="7087" w:type="dxa"/>
            <w:gridSpan w:val="2"/>
            <w:tcBorders>
              <w:top w:val="single" w:sz="4" w:space="0" w:color="auto"/>
              <w:left w:val="nil"/>
              <w:bottom w:val="single" w:sz="4" w:space="0" w:color="auto"/>
              <w:right w:val="single" w:sz="4" w:space="0" w:color="auto"/>
            </w:tcBorders>
            <w:hideMark/>
          </w:tcPr>
          <w:p w:rsidR="003D65E4" w:rsidRPr="003D65E4" w:rsidRDefault="003D65E4" w:rsidP="003D65E4">
            <w:pPr>
              <w:jc w:val="both"/>
              <w:rPr>
                <w:rFonts w:ascii="Calibri" w:hAnsi="Calibri"/>
                <w:color w:val="000000"/>
                <w:sz w:val="24"/>
                <w:szCs w:val="24"/>
              </w:rPr>
            </w:pPr>
            <w:r w:rsidRPr="003D65E4">
              <w:rPr>
                <w:rFonts w:ascii="Calibri" w:hAnsi="Calibri"/>
                <w:color w:val="000000"/>
                <w:sz w:val="24"/>
                <w:szCs w:val="24"/>
              </w:rPr>
              <w:t>7 – OPERAÇÃO DE CRÉDITO</w:t>
            </w:r>
          </w:p>
        </w:tc>
      </w:tr>
    </w:tbl>
    <w:p w:rsidR="003D65E4" w:rsidRDefault="008058C0" w:rsidP="003D65E4">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885723" w:rsidRPr="002D2B0C">
        <w:rPr>
          <w:rFonts w:ascii="Calibri" w:hAnsi="Calibri" w:cs="Calibri"/>
          <w:sz w:val="24"/>
          <w:szCs w:val="24"/>
        </w:rPr>
        <w:t>será coberto</w:t>
      </w:r>
      <w:r w:rsidR="003D65E4">
        <w:rPr>
          <w:rFonts w:ascii="Calibri" w:hAnsi="Calibri" w:cs="Calibri"/>
          <w:sz w:val="24"/>
          <w:szCs w:val="24"/>
        </w:rPr>
        <w:t xml:space="preserve"> </w:t>
      </w:r>
      <w:r w:rsidR="003D65E4" w:rsidRPr="003D65E4">
        <w:rPr>
          <w:rFonts w:ascii="Calibri" w:hAnsi="Calibri" w:cs="Calibri"/>
          <w:sz w:val="24"/>
          <w:szCs w:val="24"/>
        </w:rPr>
        <w:t>com recursos de exc</w:t>
      </w:r>
      <w:r w:rsidR="003D65E4">
        <w:rPr>
          <w:rFonts w:ascii="Calibri" w:hAnsi="Calibri" w:cs="Calibri"/>
          <w:sz w:val="24"/>
          <w:szCs w:val="24"/>
        </w:rPr>
        <w:t>esso de arrecadação, oriundos da</w:t>
      </w:r>
      <w:r w:rsidR="003D65E4" w:rsidRPr="003D65E4">
        <w:rPr>
          <w:rFonts w:ascii="Calibri" w:hAnsi="Calibri" w:cs="Calibri"/>
          <w:sz w:val="24"/>
          <w:szCs w:val="24"/>
        </w:rPr>
        <w:t xml:space="preserve"> liber</w:t>
      </w:r>
      <w:r w:rsidR="003D65E4">
        <w:rPr>
          <w:rFonts w:ascii="Calibri" w:hAnsi="Calibri" w:cs="Calibri"/>
          <w:sz w:val="24"/>
          <w:szCs w:val="24"/>
        </w:rPr>
        <w:t>ação de financiamento autorizada pel</w:t>
      </w:r>
      <w:r w:rsidR="003D65E4" w:rsidRPr="003D65E4">
        <w:rPr>
          <w:rFonts w:ascii="Calibri" w:hAnsi="Calibri" w:cs="Calibri"/>
          <w:sz w:val="24"/>
          <w:szCs w:val="24"/>
        </w:rPr>
        <w:t xml:space="preserve">a Lei </w:t>
      </w:r>
      <w:r w:rsidR="003D65E4">
        <w:rPr>
          <w:rFonts w:ascii="Calibri" w:hAnsi="Calibri" w:cs="Calibri"/>
          <w:sz w:val="24"/>
          <w:szCs w:val="24"/>
        </w:rPr>
        <w:t>nº</w:t>
      </w:r>
      <w:r w:rsidR="003D65E4" w:rsidRPr="003D65E4">
        <w:rPr>
          <w:rFonts w:ascii="Calibri" w:hAnsi="Calibri" w:cs="Calibri"/>
          <w:sz w:val="24"/>
          <w:szCs w:val="24"/>
        </w:rPr>
        <w:t xml:space="preserve"> 9.906</w:t>
      </w:r>
      <w:r w:rsidR="003D65E4">
        <w:rPr>
          <w:rFonts w:ascii="Calibri" w:hAnsi="Calibri" w:cs="Calibri"/>
          <w:sz w:val="24"/>
          <w:szCs w:val="24"/>
        </w:rPr>
        <w:t xml:space="preserve">, de </w:t>
      </w:r>
      <w:r w:rsidR="003D65E4" w:rsidRPr="003D65E4">
        <w:rPr>
          <w:rFonts w:ascii="Calibri" w:hAnsi="Calibri" w:cs="Calibri"/>
          <w:sz w:val="24"/>
          <w:szCs w:val="24"/>
        </w:rPr>
        <w:t>2020, no valor de R$ 53.299.372,03 (cinquenta e três milhões, duzentos e noventa e nove mil, trezentos e setenta e dois reais e três centavos)</w:t>
      </w:r>
      <w:r w:rsidR="009460E9">
        <w:rPr>
          <w:rFonts w:ascii="Calibri" w:hAnsi="Calibri" w:cs="Calibri"/>
          <w:sz w:val="24"/>
          <w:szCs w:val="24"/>
        </w:rPr>
        <w:t>,</w:t>
      </w:r>
      <w:r w:rsidR="003D65E4" w:rsidRPr="003D65E4">
        <w:rPr>
          <w:rFonts w:ascii="Calibri" w:hAnsi="Calibri" w:cs="Calibri"/>
          <w:sz w:val="24"/>
          <w:szCs w:val="24"/>
        </w:rPr>
        <w:t xml:space="preserve"> junto </w:t>
      </w:r>
      <w:r w:rsidR="00982D73">
        <w:rPr>
          <w:rFonts w:ascii="Calibri" w:hAnsi="Calibri" w:cs="Calibri"/>
          <w:sz w:val="24"/>
          <w:szCs w:val="24"/>
        </w:rPr>
        <w:t>à</w:t>
      </w:r>
      <w:r w:rsidR="003D65E4" w:rsidRPr="003D65E4">
        <w:rPr>
          <w:rFonts w:ascii="Calibri" w:hAnsi="Calibri" w:cs="Calibri"/>
          <w:sz w:val="24"/>
          <w:szCs w:val="24"/>
        </w:rPr>
        <w:t xml:space="preserve"> Caixa Econômica Federal.</w:t>
      </w:r>
    </w:p>
    <w:p w:rsidR="00AC140F" w:rsidRPr="00A82693" w:rsidRDefault="00CC04DE" w:rsidP="003D65E4">
      <w:pPr>
        <w:spacing w:before="120" w:after="120"/>
        <w:ind w:firstLine="1418"/>
        <w:jc w:val="both"/>
        <w:rPr>
          <w:rFonts w:ascii="Calibri" w:hAnsi="Calibri" w:cs="Calibri"/>
          <w:bCs/>
          <w:sz w:val="24"/>
          <w:szCs w:val="24"/>
        </w:rPr>
      </w:pPr>
      <w:r w:rsidRPr="00A82693">
        <w:rPr>
          <w:rFonts w:ascii="Calibri" w:hAnsi="Calibri" w:cs="Calibri"/>
          <w:bCs/>
          <w:sz w:val="24"/>
          <w:szCs w:val="24"/>
        </w:rPr>
        <w:t xml:space="preserve">Art. 3º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B26AAF">
        <w:rPr>
          <w:rFonts w:ascii="Calibri" w:hAnsi="Calibri" w:cs="Calibri"/>
          <w:bCs/>
          <w:sz w:val="24"/>
          <w:szCs w:val="24"/>
        </w:rPr>
        <w:t xml:space="preserve">especial </w:t>
      </w:r>
      <w:r w:rsidR="008058C0" w:rsidRPr="00A82693">
        <w:rPr>
          <w:rFonts w:ascii="Calibri" w:hAnsi="Calibri" w:cs="Calibri"/>
          <w:bCs/>
          <w:sz w:val="24"/>
          <w:szCs w:val="24"/>
        </w:rPr>
        <w:t xml:space="preserve">na Lei nº 9.138, de 29 de novembro de 2017 (Plano </w:t>
      </w:r>
      <w:r w:rsidR="00F15BB7" w:rsidRPr="00A82693">
        <w:rPr>
          <w:rFonts w:ascii="Calibri" w:hAnsi="Calibri" w:cs="Calibri"/>
          <w:bCs/>
          <w:sz w:val="24"/>
          <w:szCs w:val="24"/>
        </w:rPr>
        <w:t>Plurianual -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 LOA).</w:t>
      </w:r>
    </w:p>
    <w:p w:rsidR="00CC04DE" w:rsidRPr="00A82693" w:rsidRDefault="00AC140F" w:rsidP="00A82693">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8F602C">
        <w:rPr>
          <w:rFonts w:ascii="Calibri" w:hAnsi="Calibri"/>
          <w:sz w:val="24"/>
          <w:szCs w:val="24"/>
        </w:rPr>
        <w:t>12</w:t>
      </w:r>
      <w:r w:rsidRPr="00F15C41">
        <w:rPr>
          <w:rFonts w:ascii="Calibri" w:hAnsi="Calibri"/>
          <w:sz w:val="24"/>
          <w:szCs w:val="24"/>
        </w:rPr>
        <w:t xml:space="preserve"> de </w:t>
      </w:r>
      <w:r w:rsidR="008F602C">
        <w:rPr>
          <w:rFonts w:ascii="Calibri" w:hAnsi="Calibri"/>
          <w:sz w:val="24"/>
          <w:szCs w:val="24"/>
        </w:rPr>
        <w:t>març</w:t>
      </w:r>
      <w:r w:rsidR="00AC2D21">
        <w:rPr>
          <w:rFonts w:ascii="Calibri" w:hAnsi="Calibri"/>
          <w:sz w:val="24"/>
          <w:szCs w:val="24"/>
        </w:rPr>
        <w:t xml:space="preserve">o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7462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3" name="Imagem 3"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65" w:rsidRDefault="00934665" w:rsidP="008166A0">
      <w:r>
        <w:separator/>
      </w:r>
    </w:p>
  </w:endnote>
  <w:endnote w:type="continuationSeparator" w:id="0">
    <w:p w:rsidR="00934665" w:rsidRDefault="00934665"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B4" w:rsidRPr="00E42A39" w:rsidRDefault="00AA77B4">
    <w:pPr>
      <w:pStyle w:val="Rodap"/>
      <w:jc w:val="right"/>
      <w:rPr>
        <w:rFonts w:ascii="Calibri" w:hAnsi="Calibri"/>
      </w:rPr>
    </w:pPr>
    <w:r w:rsidRPr="00E42A39">
      <w:rPr>
        <w:rFonts w:ascii="Calibri" w:hAnsi="Calibri"/>
      </w:rPr>
      <w:t xml:space="preserve">Página </w:t>
    </w:r>
    <w:r w:rsidR="003B285C" w:rsidRPr="00E42A39">
      <w:rPr>
        <w:rFonts w:ascii="Calibri" w:hAnsi="Calibri"/>
        <w:b/>
        <w:bCs/>
        <w:sz w:val="24"/>
        <w:szCs w:val="24"/>
      </w:rPr>
      <w:fldChar w:fldCharType="begin"/>
    </w:r>
    <w:r w:rsidRPr="00E42A39">
      <w:rPr>
        <w:rFonts w:ascii="Calibri" w:hAnsi="Calibri"/>
        <w:b/>
        <w:bCs/>
      </w:rPr>
      <w:instrText>PAGE</w:instrText>
    </w:r>
    <w:r w:rsidR="003B285C" w:rsidRPr="00E42A39">
      <w:rPr>
        <w:rFonts w:ascii="Calibri" w:hAnsi="Calibri"/>
        <w:b/>
        <w:bCs/>
        <w:sz w:val="24"/>
        <w:szCs w:val="24"/>
      </w:rPr>
      <w:fldChar w:fldCharType="separate"/>
    </w:r>
    <w:r w:rsidR="004C3CB3">
      <w:rPr>
        <w:rFonts w:ascii="Calibri" w:hAnsi="Calibri"/>
        <w:b/>
        <w:bCs/>
        <w:noProof/>
      </w:rPr>
      <w:t>2</w:t>
    </w:r>
    <w:r w:rsidR="003B285C" w:rsidRPr="00E42A39">
      <w:rPr>
        <w:rFonts w:ascii="Calibri" w:hAnsi="Calibri"/>
        <w:b/>
        <w:bCs/>
        <w:sz w:val="24"/>
        <w:szCs w:val="24"/>
      </w:rPr>
      <w:fldChar w:fldCharType="end"/>
    </w:r>
    <w:r w:rsidRPr="00E42A39">
      <w:rPr>
        <w:rFonts w:ascii="Calibri" w:hAnsi="Calibri"/>
      </w:rPr>
      <w:t xml:space="preserve"> de </w:t>
    </w:r>
    <w:r w:rsidR="003B285C" w:rsidRPr="00E42A39">
      <w:rPr>
        <w:rFonts w:ascii="Calibri" w:hAnsi="Calibri"/>
        <w:b/>
        <w:bCs/>
        <w:sz w:val="24"/>
        <w:szCs w:val="24"/>
      </w:rPr>
      <w:fldChar w:fldCharType="begin"/>
    </w:r>
    <w:r w:rsidRPr="00E42A39">
      <w:rPr>
        <w:rFonts w:ascii="Calibri" w:hAnsi="Calibri"/>
        <w:b/>
        <w:bCs/>
      </w:rPr>
      <w:instrText>NUMPAGES</w:instrText>
    </w:r>
    <w:r w:rsidR="003B285C" w:rsidRPr="00E42A39">
      <w:rPr>
        <w:rFonts w:ascii="Calibri" w:hAnsi="Calibri"/>
        <w:b/>
        <w:bCs/>
        <w:sz w:val="24"/>
        <w:szCs w:val="24"/>
      </w:rPr>
      <w:fldChar w:fldCharType="separate"/>
    </w:r>
    <w:r w:rsidR="004C3CB3">
      <w:rPr>
        <w:rFonts w:ascii="Calibri" w:hAnsi="Calibri"/>
        <w:b/>
        <w:bCs/>
        <w:noProof/>
      </w:rPr>
      <w:t>2</w:t>
    </w:r>
    <w:r w:rsidR="003B285C" w:rsidRPr="00E42A39">
      <w:rPr>
        <w:rFonts w:ascii="Calibri" w:hAnsi="Calibri"/>
        <w:b/>
        <w:bCs/>
        <w:sz w:val="24"/>
        <w:szCs w:val="24"/>
      </w:rPr>
      <w:fldChar w:fldCharType="end"/>
    </w:r>
  </w:p>
  <w:p w:rsidR="00AA77B4" w:rsidRDefault="00AA77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65" w:rsidRDefault="00934665" w:rsidP="008166A0">
      <w:r>
        <w:separator/>
      </w:r>
    </w:p>
  </w:footnote>
  <w:footnote w:type="continuationSeparator" w:id="0">
    <w:p w:rsidR="00934665" w:rsidRDefault="00934665"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B4" w:rsidRDefault="00AA77B4"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AA77B4" w:rsidRDefault="00AA77B4" w:rsidP="00857790">
    <w:pPr>
      <w:pStyle w:val="Legenda"/>
    </w:pPr>
  </w:p>
  <w:p w:rsidR="00AA77B4" w:rsidRDefault="00AA77B4" w:rsidP="00857790">
    <w:pPr>
      <w:pStyle w:val="Legenda"/>
    </w:pPr>
    <w:r>
      <w:t xml:space="preserve"> </w:t>
    </w:r>
  </w:p>
  <w:p w:rsidR="00AA77B4" w:rsidRDefault="00AA77B4" w:rsidP="00857790">
    <w:pPr>
      <w:pStyle w:val="Legenda"/>
    </w:pPr>
  </w:p>
  <w:p w:rsidR="00AA77B4" w:rsidRPr="00BE4DA8" w:rsidRDefault="00AA77B4" w:rsidP="00857790">
    <w:pPr>
      <w:pStyle w:val="Legenda"/>
      <w:rPr>
        <w:sz w:val="12"/>
        <w:szCs w:val="24"/>
      </w:rPr>
    </w:pPr>
  </w:p>
  <w:p w:rsidR="00AA77B4" w:rsidRDefault="00AA77B4" w:rsidP="00C34ECA">
    <w:pPr>
      <w:pStyle w:val="Legenda"/>
      <w:jc w:val="left"/>
      <w:rPr>
        <w:sz w:val="24"/>
        <w:szCs w:val="24"/>
      </w:rPr>
    </w:pPr>
    <w:r>
      <w:rPr>
        <w:sz w:val="24"/>
        <w:szCs w:val="24"/>
      </w:rPr>
      <w:t xml:space="preserve">                                           </w:t>
    </w:r>
    <w:r w:rsidRPr="00A01476">
      <w:rPr>
        <w:sz w:val="24"/>
        <w:szCs w:val="24"/>
      </w:rPr>
      <w:t>MUNICÍPIO DE ARARAQUARA</w:t>
    </w:r>
  </w:p>
  <w:p w:rsidR="00AA77B4" w:rsidRPr="002A64D5" w:rsidRDefault="00AA77B4" w:rsidP="002A64D5"/>
  <w:p w:rsidR="00AA77B4" w:rsidRPr="00857790" w:rsidRDefault="00AA77B4"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D1D73"/>
    <w:rsid w:val="000D22B7"/>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103D"/>
    <w:rsid w:val="00112A46"/>
    <w:rsid w:val="00113A50"/>
    <w:rsid w:val="00122596"/>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7FF9"/>
    <w:rsid w:val="001E084E"/>
    <w:rsid w:val="001E1A55"/>
    <w:rsid w:val="001E3046"/>
    <w:rsid w:val="001F32BB"/>
    <w:rsid w:val="001F6300"/>
    <w:rsid w:val="001F665E"/>
    <w:rsid w:val="00214C31"/>
    <w:rsid w:val="0022000F"/>
    <w:rsid w:val="0022453B"/>
    <w:rsid w:val="00230658"/>
    <w:rsid w:val="00234C68"/>
    <w:rsid w:val="002452E4"/>
    <w:rsid w:val="002455DD"/>
    <w:rsid w:val="00250D64"/>
    <w:rsid w:val="00252F7D"/>
    <w:rsid w:val="002531F6"/>
    <w:rsid w:val="00263274"/>
    <w:rsid w:val="002644D7"/>
    <w:rsid w:val="00274B8F"/>
    <w:rsid w:val="00275644"/>
    <w:rsid w:val="00275F8F"/>
    <w:rsid w:val="00285D23"/>
    <w:rsid w:val="00285FD4"/>
    <w:rsid w:val="00286BC6"/>
    <w:rsid w:val="00293472"/>
    <w:rsid w:val="002972AA"/>
    <w:rsid w:val="002A3AC8"/>
    <w:rsid w:val="002A64D5"/>
    <w:rsid w:val="002B203A"/>
    <w:rsid w:val="002C203E"/>
    <w:rsid w:val="002C5F6F"/>
    <w:rsid w:val="002D1B1C"/>
    <w:rsid w:val="002D6F18"/>
    <w:rsid w:val="002D7FBD"/>
    <w:rsid w:val="002E0A19"/>
    <w:rsid w:val="002E0B31"/>
    <w:rsid w:val="002E4BC7"/>
    <w:rsid w:val="002F5D59"/>
    <w:rsid w:val="003002D7"/>
    <w:rsid w:val="0030245D"/>
    <w:rsid w:val="00307A83"/>
    <w:rsid w:val="0031057C"/>
    <w:rsid w:val="00311AB1"/>
    <w:rsid w:val="00314938"/>
    <w:rsid w:val="003329DA"/>
    <w:rsid w:val="00332C3C"/>
    <w:rsid w:val="00335769"/>
    <w:rsid w:val="00340A28"/>
    <w:rsid w:val="00341486"/>
    <w:rsid w:val="00342EBC"/>
    <w:rsid w:val="00342F25"/>
    <w:rsid w:val="003433B3"/>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90779"/>
    <w:rsid w:val="00397ADB"/>
    <w:rsid w:val="003A5787"/>
    <w:rsid w:val="003A57B0"/>
    <w:rsid w:val="003B24FA"/>
    <w:rsid w:val="003B285C"/>
    <w:rsid w:val="003B2C2D"/>
    <w:rsid w:val="003B4B91"/>
    <w:rsid w:val="003D65E4"/>
    <w:rsid w:val="003E376C"/>
    <w:rsid w:val="003F7D7B"/>
    <w:rsid w:val="004005F2"/>
    <w:rsid w:val="00403A18"/>
    <w:rsid w:val="00410591"/>
    <w:rsid w:val="00411553"/>
    <w:rsid w:val="00415E62"/>
    <w:rsid w:val="00417731"/>
    <w:rsid w:val="00427C1F"/>
    <w:rsid w:val="00431648"/>
    <w:rsid w:val="00434A29"/>
    <w:rsid w:val="00440E6C"/>
    <w:rsid w:val="004419B2"/>
    <w:rsid w:val="00441B4F"/>
    <w:rsid w:val="004430E6"/>
    <w:rsid w:val="004462FD"/>
    <w:rsid w:val="00450E2A"/>
    <w:rsid w:val="004531B0"/>
    <w:rsid w:val="0045775E"/>
    <w:rsid w:val="00475C81"/>
    <w:rsid w:val="0048112F"/>
    <w:rsid w:val="00483D55"/>
    <w:rsid w:val="00490080"/>
    <w:rsid w:val="00491DE5"/>
    <w:rsid w:val="004953D4"/>
    <w:rsid w:val="00495F1E"/>
    <w:rsid w:val="004A29A6"/>
    <w:rsid w:val="004B4E1A"/>
    <w:rsid w:val="004B7D9A"/>
    <w:rsid w:val="004C3CB3"/>
    <w:rsid w:val="004D288B"/>
    <w:rsid w:val="004D472A"/>
    <w:rsid w:val="004D4AB7"/>
    <w:rsid w:val="004E3E24"/>
    <w:rsid w:val="004E6AE6"/>
    <w:rsid w:val="004F6D7C"/>
    <w:rsid w:val="004F7506"/>
    <w:rsid w:val="00501860"/>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7B81"/>
    <w:rsid w:val="00572389"/>
    <w:rsid w:val="00572808"/>
    <w:rsid w:val="00573070"/>
    <w:rsid w:val="005738DD"/>
    <w:rsid w:val="005803DB"/>
    <w:rsid w:val="00582ECC"/>
    <w:rsid w:val="0059151E"/>
    <w:rsid w:val="00594E78"/>
    <w:rsid w:val="005A351E"/>
    <w:rsid w:val="005A5EB4"/>
    <w:rsid w:val="005A64B5"/>
    <w:rsid w:val="005A7093"/>
    <w:rsid w:val="005B1022"/>
    <w:rsid w:val="005C597B"/>
    <w:rsid w:val="005D0C0B"/>
    <w:rsid w:val="005D36A7"/>
    <w:rsid w:val="005E09BF"/>
    <w:rsid w:val="005E1AEC"/>
    <w:rsid w:val="005E28DC"/>
    <w:rsid w:val="005E36C1"/>
    <w:rsid w:val="005E3C9A"/>
    <w:rsid w:val="005F0026"/>
    <w:rsid w:val="00604A36"/>
    <w:rsid w:val="006061AF"/>
    <w:rsid w:val="00615557"/>
    <w:rsid w:val="00615AF8"/>
    <w:rsid w:val="00624145"/>
    <w:rsid w:val="006267D1"/>
    <w:rsid w:val="0062683E"/>
    <w:rsid w:val="00632F11"/>
    <w:rsid w:val="00633FF8"/>
    <w:rsid w:val="00634FDF"/>
    <w:rsid w:val="00646223"/>
    <w:rsid w:val="006570A4"/>
    <w:rsid w:val="006629CA"/>
    <w:rsid w:val="00664F77"/>
    <w:rsid w:val="00667FC3"/>
    <w:rsid w:val="0067167E"/>
    <w:rsid w:val="00687D43"/>
    <w:rsid w:val="00690157"/>
    <w:rsid w:val="00692491"/>
    <w:rsid w:val="006A2880"/>
    <w:rsid w:val="006A3121"/>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54"/>
    <w:rsid w:val="00713BA1"/>
    <w:rsid w:val="007164A2"/>
    <w:rsid w:val="00717BED"/>
    <w:rsid w:val="00723337"/>
    <w:rsid w:val="00723D9A"/>
    <w:rsid w:val="0072463D"/>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6290"/>
    <w:rsid w:val="007941C9"/>
    <w:rsid w:val="007945CE"/>
    <w:rsid w:val="00795D70"/>
    <w:rsid w:val="007A0F06"/>
    <w:rsid w:val="007C3985"/>
    <w:rsid w:val="007C6A6C"/>
    <w:rsid w:val="007C7BBE"/>
    <w:rsid w:val="007D1E98"/>
    <w:rsid w:val="007E193E"/>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7790"/>
    <w:rsid w:val="00862FEE"/>
    <w:rsid w:val="00866C70"/>
    <w:rsid w:val="00871EBD"/>
    <w:rsid w:val="0087521D"/>
    <w:rsid w:val="00881B7E"/>
    <w:rsid w:val="00885723"/>
    <w:rsid w:val="00886D95"/>
    <w:rsid w:val="00891921"/>
    <w:rsid w:val="008A656C"/>
    <w:rsid w:val="008B2832"/>
    <w:rsid w:val="008B51FA"/>
    <w:rsid w:val="008C644A"/>
    <w:rsid w:val="008D222F"/>
    <w:rsid w:val="008E4DFD"/>
    <w:rsid w:val="008F602C"/>
    <w:rsid w:val="00904CAD"/>
    <w:rsid w:val="00910C70"/>
    <w:rsid w:val="009110E0"/>
    <w:rsid w:val="00913D56"/>
    <w:rsid w:val="0091420D"/>
    <w:rsid w:val="009148E4"/>
    <w:rsid w:val="00916814"/>
    <w:rsid w:val="00920F2E"/>
    <w:rsid w:val="009225AA"/>
    <w:rsid w:val="009245EB"/>
    <w:rsid w:val="00925496"/>
    <w:rsid w:val="00925527"/>
    <w:rsid w:val="00925FA8"/>
    <w:rsid w:val="0092664C"/>
    <w:rsid w:val="0093067B"/>
    <w:rsid w:val="00934665"/>
    <w:rsid w:val="00936A4C"/>
    <w:rsid w:val="0094057D"/>
    <w:rsid w:val="00943A6D"/>
    <w:rsid w:val="0094520F"/>
    <w:rsid w:val="009455E2"/>
    <w:rsid w:val="009460E9"/>
    <w:rsid w:val="0095121E"/>
    <w:rsid w:val="009515B0"/>
    <w:rsid w:val="00951F5F"/>
    <w:rsid w:val="00953C83"/>
    <w:rsid w:val="00956846"/>
    <w:rsid w:val="00961FE5"/>
    <w:rsid w:val="00965B11"/>
    <w:rsid w:val="009711BE"/>
    <w:rsid w:val="009761E6"/>
    <w:rsid w:val="00982D73"/>
    <w:rsid w:val="009832FE"/>
    <w:rsid w:val="009909A3"/>
    <w:rsid w:val="00991E06"/>
    <w:rsid w:val="0099494C"/>
    <w:rsid w:val="00994976"/>
    <w:rsid w:val="009960D4"/>
    <w:rsid w:val="00997C1D"/>
    <w:rsid w:val="009A59CC"/>
    <w:rsid w:val="009B54CE"/>
    <w:rsid w:val="009C0D50"/>
    <w:rsid w:val="009C34C9"/>
    <w:rsid w:val="009C7B9D"/>
    <w:rsid w:val="009D0138"/>
    <w:rsid w:val="009D5376"/>
    <w:rsid w:val="009E3454"/>
    <w:rsid w:val="009E47A2"/>
    <w:rsid w:val="009F0B7E"/>
    <w:rsid w:val="009F1B29"/>
    <w:rsid w:val="00A012B9"/>
    <w:rsid w:val="00A01D73"/>
    <w:rsid w:val="00A116FA"/>
    <w:rsid w:val="00A1271F"/>
    <w:rsid w:val="00A26F23"/>
    <w:rsid w:val="00A343A6"/>
    <w:rsid w:val="00A35CB7"/>
    <w:rsid w:val="00A427CE"/>
    <w:rsid w:val="00A458D2"/>
    <w:rsid w:val="00A516D4"/>
    <w:rsid w:val="00A54A1E"/>
    <w:rsid w:val="00A553D6"/>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A77B4"/>
    <w:rsid w:val="00AB09CA"/>
    <w:rsid w:val="00AB1A6E"/>
    <w:rsid w:val="00AC140F"/>
    <w:rsid w:val="00AC2D21"/>
    <w:rsid w:val="00AC4AEA"/>
    <w:rsid w:val="00AC5267"/>
    <w:rsid w:val="00AC54E2"/>
    <w:rsid w:val="00AD16EA"/>
    <w:rsid w:val="00AD17F7"/>
    <w:rsid w:val="00AD6C74"/>
    <w:rsid w:val="00AE0A76"/>
    <w:rsid w:val="00AF1216"/>
    <w:rsid w:val="00AF2591"/>
    <w:rsid w:val="00AF287F"/>
    <w:rsid w:val="00AF3849"/>
    <w:rsid w:val="00AF6A2A"/>
    <w:rsid w:val="00B04FF4"/>
    <w:rsid w:val="00B17978"/>
    <w:rsid w:val="00B17C7F"/>
    <w:rsid w:val="00B22092"/>
    <w:rsid w:val="00B2469D"/>
    <w:rsid w:val="00B26AAF"/>
    <w:rsid w:val="00B31ADC"/>
    <w:rsid w:val="00B3230C"/>
    <w:rsid w:val="00B333B7"/>
    <w:rsid w:val="00B3513F"/>
    <w:rsid w:val="00B40018"/>
    <w:rsid w:val="00B42924"/>
    <w:rsid w:val="00B4316B"/>
    <w:rsid w:val="00B51771"/>
    <w:rsid w:val="00B51B90"/>
    <w:rsid w:val="00B6164F"/>
    <w:rsid w:val="00B75A30"/>
    <w:rsid w:val="00B82C16"/>
    <w:rsid w:val="00B85577"/>
    <w:rsid w:val="00B87050"/>
    <w:rsid w:val="00B92D16"/>
    <w:rsid w:val="00B94567"/>
    <w:rsid w:val="00B95CCE"/>
    <w:rsid w:val="00B9654F"/>
    <w:rsid w:val="00BA34B6"/>
    <w:rsid w:val="00BA3A63"/>
    <w:rsid w:val="00BA3DAF"/>
    <w:rsid w:val="00BA6946"/>
    <w:rsid w:val="00BA7421"/>
    <w:rsid w:val="00BB01D7"/>
    <w:rsid w:val="00BB0F3E"/>
    <w:rsid w:val="00BB1D1F"/>
    <w:rsid w:val="00BB213C"/>
    <w:rsid w:val="00BB695F"/>
    <w:rsid w:val="00BC2244"/>
    <w:rsid w:val="00BC411A"/>
    <w:rsid w:val="00BD081D"/>
    <w:rsid w:val="00BD5CBE"/>
    <w:rsid w:val="00BE0027"/>
    <w:rsid w:val="00BE073A"/>
    <w:rsid w:val="00BE4869"/>
    <w:rsid w:val="00BE5E18"/>
    <w:rsid w:val="00BF386F"/>
    <w:rsid w:val="00C0562E"/>
    <w:rsid w:val="00C107D6"/>
    <w:rsid w:val="00C140C9"/>
    <w:rsid w:val="00C14E25"/>
    <w:rsid w:val="00C15D98"/>
    <w:rsid w:val="00C20C67"/>
    <w:rsid w:val="00C245F0"/>
    <w:rsid w:val="00C31A3A"/>
    <w:rsid w:val="00C34ECA"/>
    <w:rsid w:val="00C4341F"/>
    <w:rsid w:val="00C52041"/>
    <w:rsid w:val="00C52996"/>
    <w:rsid w:val="00C52E50"/>
    <w:rsid w:val="00C53FB1"/>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E055F"/>
    <w:rsid w:val="00CE331A"/>
    <w:rsid w:val="00CE5E8B"/>
    <w:rsid w:val="00CE67CB"/>
    <w:rsid w:val="00CF0369"/>
    <w:rsid w:val="00CF4174"/>
    <w:rsid w:val="00CF45B5"/>
    <w:rsid w:val="00CF478F"/>
    <w:rsid w:val="00D147CC"/>
    <w:rsid w:val="00D16BA0"/>
    <w:rsid w:val="00D2004C"/>
    <w:rsid w:val="00D211B9"/>
    <w:rsid w:val="00D26682"/>
    <w:rsid w:val="00D3316C"/>
    <w:rsid w:val="00D33EFC"/>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0599"/>
    <w:rsid w:val="00DB0E96"/>
    <w:rsid w:val="00DB15C4"/>
    <w:rsid w:val="00DB340D"/>
    <w:rsid w:val="00DB5AAD"/>
    <w:rsid w:val="00DC2EF2"/>
    <w:rsid w:val="00DC36CC"/>
    <w:rsid w:val="00DD015F"/>
    <w:rsid w:val="00DD098D"/>
    <w:rsid w:val="00DD63C6"/>
    <w:rsid w:val="00DD7BD4"/>
    <w:rsid w:val="00DE029D"/>
    <w:rsid w:val="00DE063F"/>
    <w:rsid w:val="00DE632F"/>
    <w:rsid w:val="00DF460B"/>
    <w:rsid w:val="00DF5C57"/>
    <w:rsid w:val="00DF60FC"/>
    <w:rsid w:val="00DF67D2"/>
    <w:rsid w:val="00DF73FE"/>
    <w:rsid w:val="00E01823"/>
    <w:rsid w:val="00E02743"/>
    <w:rsid w:val="00E028ED"/>
    <w:rsid w:val="00E132DD"/>
    <w:rsid w:val="00E157F2"/>
    <w:rsid w:val="00E2284E"/>
    <w:rsid w:val="00E245CB"/>
    <w:rsid w:val="00E30531"/>
    <w:rsid w:val="00E35E71"/>
    <w:rsid w:val="00E42A39"/>
    <w:rsid w:val="00E47004"/>
    <w:rsid w:val="00E543CA"/>
    <w:rsid w:val="00E57F6A"/>
    <w:rsid w:val="00E61E5D"/>
    <w:rsid w:val="00E61F9F"/>
    <w:rsid w:val="00E64D72"/>
    <w:rsid w:val="00E6748A"/>
    <w:rsid w:val="00E67C82"/>
    <w:rsid w:val="00E72682"/>
    <w:rsid w:val="00E75CFD"/>
    <w:rsid w:val="00E84F56"/>
    <w:rsid w:val="00E87DD2"/>
    <w:rsid w:val="00E9030B"/>
    <w:rsid w:val="00E921A2"/>
    <w:rsid w:val="00E93E37"/>
    <w:rsid w:val="00E9594B"/>
    <w:rsid w:val="00E95DA1"/>
    <w:rsid w:val="00EA1A2E"/>
    <w:rsid w:val="00EA1A96"/>
    <w:rsid w:val="00EA2CB6"/>
    <w:rsid w:val="00EB04B7"/>
    <w:rsid w:val="00EB121E"/>
    <w:rsid w:val="00EB457F"/>
    <w:rsid w:val="00EB72FC"/>
    <w:rsid w:val="00EC42B1"/>
    <w:rsid w:val="00EC6173"/>
    <w:rsid w:val="00EC7143"/>
    <w:rsid w:val="00EC73BF"/>
    <w:rsid w:val="00EC797F"/>
    <w:rsid w:val="00ED418C"/>
    <w:rsid w:val="00EE1CA9"/>
    <w:rsid w:val="00EF1465"/>
    <w:rsid w:val="00EF28FF"/>
    <w:rsid w:val="00F0597A"/>
    <w:rsid w:val="00F11E6C"/>
    <w:rsid w:val="00F1328B"/>
    <w:rsid w:val="00F15BB7"/>
    <w:rsid w:val="00F254A9"/>
    <w:rsid w:val="00F36287"/>
    <w:rsid w:val="00F367E1"/>
    <w:rsid w:val="00F375C3"/>
    <w:rsid w:val="00F42CFB"/>
    <w:rsid w:val="00F43F27"/>
    <w:rsid w:val="00F46950"/>
    <w:rsid w:val="00F52476"/>
    <w:rsid w:val="00F545EE"/>
    <w:rsid w:val="00F55D82"/>
    <w:rsid w:val="00F57E80"/>
    <w:rsid w:val="00F6680A"/>
    <w:rsid w:val="00F845EF"/>
    <w:rsid w:val="00F91E1E"/>
    <w:rsid w:val="00FA3245"/>
    <w:rsid w:val="00FA63F1"/>
    <w:rsid w:val="00FA6EC2"/>
    <w:rsid w:val="00FB1C8A"/>
    <w:rsid w:val="00FC3842"/>
    <w:rsid w:val="00FC444E"/>
    <w:rsid w:val="00FD000F"/>
    <w:rsid w:val="00FD0CA8"/>
    <w:rsid w:val="00FD1F41"/>
    <w:rsid w:val="00FD7A6B"/>
    <w:rsid w:val="00FE3F40"/>
    <w:rsid w:val="00FE3F7F"/>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BBA69D-A2CC-4365-A8A9-1263B176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7B6E9-8697-40F4-B461-FEB1C6DD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2020-03-10T18:29:00Z</cp:lastPrinted>
  <dcterms:created xsi:type="dcterms:W3CDTF">2020-03-12T16:10:00Z</dcterms:created>
  <dcterms:modified xsi:type="dcterms:W3CDTF">2020-03-12T16:10:00Z</dcterms:modified>
</cp:coreProperties>
</file>