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113/2020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medidas de transição, de implementação e de readequação das Leis nº 9.800, 9.801 e 9.802, todas de 27 de novembro de 2019,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3C" w:rsidRDefault="00D31A3C" w:rsidP="00126850">
      <w:pPr>
        <w:spacing w:line="240" w:lineRule="auto"/>
      </w:pPr>
      <w:r>
        <w:separator/>
      </w:r>
    </w:p>
  </w:endnote>
  <w:endnote w:type="continuationSeparator" w:id="0">
    <w:p w:rsidR="00D31A3C" w:rsidRDefault="00D31A3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159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159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3C" w:rsidRDefault="00D31A3C" w:rsidP="00126850">
      <w:pPr>
        <w:spacing w:line="240" w:lineRule="auto"/>
      </w:pPr>
      <w:r>
        <w:separator/>
      </w:r>
    </w:p>
  </w:footnote>
  <w:footnote w:type="continuationSeparator" w:id="0">
    <w:p w:rsidR="00D31A3C" w:rsidRDefault="00D31A3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5924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1A3C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A9D8-AC82-456F-9D76-27EB9B30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2020-03-06T11:49:00Z</dcterms:modified>
</cp:coreProperties>
</file>