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as Leis Complementares nº 18, de 22 de dezembro de 1997 (Código de Posturas do Município de Araraquara), e nº 827, de 10 de julho de 2012 (Institui a política municipal de proteção aos animais), de modo a adequá-las à criação da Coordenadoria Executiva de Bem-Estar Animal, e dá outra providência.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68" w:rsidRDefault="001F1968" w:rsidP="00126850">
      <w:pPr>
        <w:spacing w:line="240" w:lineRule="auto"/>
      </w:pPr>
      <w:r>
        <w:separator/>
      </w:r>
    </w:p>
  </w:endnote>
  <w:endnote w:type="continuationSeparator" w:id="0">
    <w:p w:rsidR="001F1968" w:rsidRDefault="001F196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5C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5C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68" w:rsidRDefault="001F1968" w:rsidP="00126850">
      <w:pPr>
        <w:spacing w:line="240" w:lineRule="auto"/>
      </w:pPr>
      <w:r>
        <w:separator/>
      </w:r>
    </w:p>
  </w:footnote>
  <w:footnote w:type="continuationSeparator" w:id="0">
    <w:p w:rsidR="001F1968" w:rsidRDefault="001F196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1968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5C46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C872-7214-4C40-A573-FA6A30EF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2020-02-14T12:08:00Z</dcterms:modified>
</cp:coreProperties>
</file>