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805D0">
        <w:rPr>
          <w:rFonts w:ascii="Arial" w:hAnsi="Arial" w:cs="Arial"/>
          <w:sz w:val="24"/>
          <w:szCs w:val="24"/>
        </w:rPr>
        <w:t>040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805D0">
        <w:rPr>
          <w:b/>
          <w:bCs/>
          <w:sz w:val="32"/>
          <w:szCs w:val="32"/>
        </w:rPr>
        <w:t>040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805D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805D0">
        <w:rPr>
          <w:rFonts w:ascii="Arial" w:hAnsi="Arial" w:cs="Arial"/>
          <w:sz w:val="22"/>
          <w:szCs w:val="22"/>
        </w:rPr>
        <w:t xml:space="preserve">Altera a Lei nº 9.710, de 4 de setembro de 2019, substituindo imóveis alienados por permuta à Companhia </w:t>
      </w:r>
      <w:proofErr w:type="spellStart"/>
      <w:r w:rsidRPr="002805D0">
        <w:rPr>
          <w:rFonts w:ascii="Arial" w:hAnsi="Arial" w:cs="Arial"/>
          <w:sz w:val="22"/>
          <w:szCs w:val="22"/>
        </w:rPr>
        <w:t>Tróleibus</w:t>
      </w:r>
      <w:proofErr w:type="spellEnd"/>
      <w:r w:rsidRPr="002805D0">
        <w:rPr>
          <w:rFonts w:ascii="Arial" w:hAnsi="Arial" w:cs="Arial"/>
          <w:sz w:val="22"/>
          <w:szCs w:val="22"/>
        </w:rPr>
        <w:t xml:space="preserve"> Araraquara (CTA), para integralização de seu patrimônio.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05D0">
        <w:rPr>
          <w:rFonts w:ascii="Arial" w:hAnsi="Arial" w:cs="Arial"/>
          <w:sz w:val="24"/>
          <w:szCs w:val="24"/>
        </w:rPr>
        <w:t>Art. 1º A Lei nº 9.710, de 4 de setembro de 2019, passa a vigorar com a seguinte alteração:</w:t>
      </w:r>
    </w:p>
    <w:p w:rsidR="002805D0" w:rsidRP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05D0" w:rsidRP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805D0">
        <w:rPr>
          <w:rFonts w:ascii="Arial" w:hAnsi="Arial" w:cs="Arial"/>
          <w:sz w:val="24"/>
          <w:szCs w:val="24"/>
        </w:rPr>
        <w:t>“Art. 1º-A 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</w:p>
    <w:p w:rsidR="002805D0" w:rsidRP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805D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2805D0" w:rsidRP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805D0">
        <w:rPr>
          <w:rFonts w:ascii="Arial" w:hAnsi="Arial" w:cs="Arial"/>
          <w:sz w:val="24"/>
          <w:szCs w:val="24"/>
        </w:rPr>
        <w:t>XXXVIII – um terreno localizado com frente para as Ruas Ferdinando Biagioni e Armando Salles de Oliveira, contendo 1.718,5613 m² (um mil, setecentos e dezoito inteiros e cinco mil, seiscentos e treze milésimos de metros quadrados), sob matrícula nº 126.158.” (NR)</w:t>
      </w:r>
    </w:p>
    <w:p w:rsid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05D0" w:rsidRP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05D0">
        <w:rPr>
          <w:rFonts w:ascii="Arial" w:hAnsi="Arial" w:cs="Arial"/>
          <w:sz w:val="24"/>
          <w:szCs w:val="24"/>
        </w:rPr>
        <w:t>Art. 2º Ficam revogados os incisos XXXI e XXXIII do art. 1º-A da Lei nº 9.710, de 2019.</w:t>
      </w:r>
    </w:p>
    <w:p w:rsid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05D0" w:rsidRPr="002805D0" w:rsidRDefault="002805D0" w:rsidP="002805D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05D0"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805D0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70</cp:revision>
  <cp:lastPrinted>1998-11-10T17:41:00Z</cp:lastPrinted>
  <dcterms:created xsi:type="dcterms:W3CDTF">2017-03-28T14:59:00Z</dcterms:created>
  <dcterms:modified xsi:type="dcterms:W3CDTF">2020-02-10T17:31:00Z</dcterms:modified>
</cp:coreProperties>
</file>