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72/2020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R$ 632.400,00 (seiscentos e trinta e dois mil e quatrocentos reais), para atender a manutenção das Unidades Básicas de Saúde,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3E" w:rsidRDefault="007F3B3E" w:rsidP="00126850">
      <w:pPr>
        <w:spacing w:line="240" w:lineRule="auto"/>
      </w:pPr>
      <w:r>
        <w:separator/>
      </w:r>
    </w:p>
  </w:endnote>
  <w:endnote w:type="continuationSeparator" w:id="0">
    <w:p w:rsidR="007F3B3E" w:rsidRDefault="007F3B3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024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4024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3E" w:rsidRDefault="007F3B3E" w:rsidP="00126850">
      <w:pPr>
        <w:spacing w:line="240" w:lineRule="auto"/>
      </w:pPr>
      <w:r>
        <w:separator/>
      </w:r>
    </w:p>
  </w:footnote>
  <w:footnote w:type="continuationSeparator" w:id="0">
    <w:p w:rsidR="007F3B3E" w:rsidRDefault="007F3B3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B3E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24C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6D1E-91C4-4CBE-98DE-DC9CBC15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2020-02-06T15:33:00Z</dcterms:modified>
</cp:coreProperties>
</file>