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- OCA), acrescendo imóveis a serem utilizados no OCA.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07B3D" w:rsidRDefault="00207B3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07B3D" w:rsidRPr="00635C11" w:rsidRDefault="00207B3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Transportes, Habitação e Saneamento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AF6" w:rsidRDefault="00511AF6" w:rsidP="00126850">
      <w:pPr>
        <w:spacing w:line="240" w:lineRule="auto"/>
      </w:pPr>
      <w:r>
        <w:separator/>
      </w:r>
    </w:p>
  </w:endnote>
  <w:endnote w:type="continuationSeparator" w:id="0">
    <w:p w:rsidR="00511AF6" w:rsidRDefault="00511AF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7B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7B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AF6" w:rsidRDefault="00511AF6" w:rsidP="00126850">
      <w:pPr>
        <w:spacing w:line="240" w:lineRule="auto"/>
      </w:pPr>
      <w:r>
        <w:separator/>
      </w:r>
    </w:p>
  </w:footnote>
  <w:footnote w:type="continuationSeparator" w:id="0">
    <w:p w:rsidR="00511AF6" w:rsidRDefault="00511AF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07B3D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1AF6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73A2-5595-4F3A-9D48-A5037D38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2020-02-05T21:34:00Z</dcterms:modified>
</cp:coreProperties>
</file>