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- OCA), acrescendo imóveis a serem utilizados no OCA.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F7F45" w:rsidRDefault="002F7F4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F7F45" w:rsidRPr="001B5DD7" w:rsidRDefault="002F7F4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6D8" w:rsidRDefault="00A516D8" w:rsidP="00126850">
      <w:pPr>
        <w:spacing w:line="240" w:lineRule="auto"/>
      </w:pPr>
      <w:r>
        <w:separator/>
      </w:r>
    </w:p>
  </w:endnote>
  <w:endnote w:type="continuationSeparator" w:id="0">
    <w:p w:rsidR="00A516D8" w:rsidRDefault="00A516D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7F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7F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6D8" w:rsidRDefault="00A516D8" w:rsidP="00126850">
      <w:pPr>
        <w:spacing w:line="240" w:lineRule="auto"/>
      </w:pPr>
      <w:r>
        <w:separator/>
      </w:r>
    </w:p>
  </w:footnote>
  <w:footnote w:type="continuationSeparator" w:id="0">
    <w:p w:rsidR="00A516D8" w:rsidRDefault="00A516D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2F7F45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6D8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E42C7-0A57-419A-8E74-3EA0DC88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2020-02-05T21:33:00Z</dcterms:modified>
</cp:coreProperties>
</file>