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460" w:type="dxa"/>
        <w:tblInd w:w="675" w:type="dxa"/>
        <w:tblLayout w:type="fixed"/>
        <w:tblLook w:val="01E0" w:firstRow="1" w:lastRow="1" w:firstColumn="1" w:lastColumn="1" w:noHBand="0" w:noVBand="0"/>
      </w:tblPr>
      <w:tblGrid>
        <w:gridCol w:w="2552"/>
        <w:gridCol w:w="4111"/>
        <w:gridCol w:w="1797"/>
      </w:tblGrid>
      <w:tr w:rsidR="00292D27" w:rsidRPr="00064ECE" w:rsidTr="004D6249">
        <w:tc>
          <w:tcPr>
            <w:tcW w:w="2552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 w:rsidRPr="00064ECE">
              <w:rPr>
                <w:b/>
                <w:bCs/>
                <w:sz w:val="32"/>
                <w:szCs w:val="32"/>
              </w:rPr>
              <w:t>PARECER Nº</w:t>
            </w:r>
          </w:p>
        </w:tc>
        <w:tc>
          <w:tcPr>
            <w:tcW w:w="4111" w:type="dxa"/>
          </w:tcPr>
          <w:p w:rsidR="00292D27" w:rsidRPr="00064ECE" w:rsidRDefault="00292D27" w:rsidP="00381E73">
            <w:pPr>
              <w:tabs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</w:p>
        </w:tc>
        <w:tc>
          <w:tcPr>
            <w:tcW w:w="1797" w:type="dxa"/>
          </w:tcPr>
          <w:p w:rsidR="00292D27" w:rsidRPr="00064ECE" w:rsidRDefault="00DD41DF" w:rsidP="00DC3F88">
            <w:pPr>
              <w:tabs>
                <w:tab w:val="left" w:pos="600"/>
                <w:tab w:val="left" w:pos="993"/>
              </w:tabs>
              <w:ind w:left="34"/>
              <w:jc w:val="center"/>
              <w:rPr>
                <w:sz w:val="32"/>
                <w:szCs w:val="32"/>
                <w:u w:val="words"/>
              </w:rPr>
            </w:pPr>
            <w:r>
              <w:rPr>
                <w:b/>
                <w:bCs/>
                <w:sz w:val="32"/>
                <w:szCs w:val="32"/>
              </w:rPr>
              <w:t>/</w:t>
            </w:r>
            <w:r w:rsidR="00BB6AFC">
              <w:rPr>
                <w:b/>
                <w:bCs/>
                <w:sz w:val="32"/>
                <w:szCs w:val="32"/>
              </w:rPr>
              <w:t>20</w:t>
            </w:r>
            <w:r w:rsidR="00DC3F88">
              <w:rPr>
                <w:b/>
                <w:bCs/>
                <w:sz w:val="32"/>
                <w:szCs w:val="32"/>
              </w:rPr>
              <w:t>20</w:t>
            </w:r>
          </w:p>
        </w:tc>
      </w:tr>
    </w:tbl>
    <w:p w:rsidR="00292D27" w:rsidRDefault="00292D27" w:rsidP="00381E73">
      <w:pPr>
        <w:tabs>
          <w:tab w:val="left" w:pos="993"/>
        </w:tabs>
        <w:ind w:left="34"/>
        <w:jc w:val="both"/>
        <w:rPr>
          <w:rFonts w:ascii="Arial" w:hAnsi="Arial" w:cs="Arial"/>
          <w:b/>
          <w:bCs/>
          <w:sz w:val="24"/>
          <w:szCs w:val="24"/>
        </w:rPr>
      </w:pPr>
    </w:p>
    <w:p w:rsidR="00DD063D" w:rsidRPr="00DD063D" w:rsidRDefault="005F57A4" w:rsidP="00DD063D">
      <w:pPr>
        <w:keepNext/>
        <w:jc w:val="both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Substitutivo </w:t>
      </w:r>
      <w:r w:rsidR="00F24667">
        <w:rPr>
          <w:rFonts w:ascii="Arial" w:hAnsi="Arial" w:cs="Arial"/>
          <w:bCs/>
          <w:sz w:val="24"/>
          <w:szCs w:val="24"/>
        </w:rPr>
        <w:t xml:space="preserve">nº 02 </w:t>
      </w:r>
      <w:r>
        <w:rPr>
          <w:rFonts w:ascii="Arial" w:hAnsi="Arial" w:cs="Arial"/>
          <w:bCs/>
          <w:sz w:val="24"/>
          <w:szCs w:val="24"/>
        </w:rPr>
        <w:t xml:space="preserve">ao </w:t>
      </w:r>
      <w:r w:rsidR="00DD063D" w:rsidRPr="00DD063D">
        <w:rPr>
          <w:rFonts w:ascii="Arial" w:hAnsi="Arial" w:cs="Arial"/>
          <w:bCs/>
          <w:sz w:val="24"/>
          <w:szCs w:val="24"/>
        </w:rPr>
        <w:t>Projeto de Lei nº 84/2019</w:t>
      </w:r>
    </w:p>
    <w:p w:rsidR="00DD063D" w:rsidRPr="00DD063D" w:rsidRDefault="00DD063D" w:rsidP="00DD063D">
      <w:pPr>
        <w:jc w:val="both"/>
        <w:rPr>
          <w:rFonts w:ascii="Arial" w:hAnsi="Arial" w:cs="Arial"/>
          <w:bCs/>
          <w:sz w:val="24"/>
          <w:szCs w:val="24"/>
        </w:rPr>
      </w:pPr>
    </w:p>
    <w:p w:rsidR="00DD063D" w:rsidRPr="00DD063D" w:rsidRDefault="00DD063D" w:rsidP="00DD063D">
      <w:pPr>
        <w:keepNext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DD063D">
        <w:rPr>
          <w:rFonts w:ascii="Arial" w:hAnsi="Arial" w:cs="Arial"/>
          <w:bCs/>
          <w:sz w:val="24"/>
          <w:szCs w:val="24"/>
        </w:rPr>
        <w:t>Processo nº 113/2019</w:t>
      </w:r>
    </w:p>
    <w:p w:rsidR="00DD063D" w:rsidRPr="00DD063D" w:rsidRDefault="00DD063D" w:rsidP="00DD063D">
      <w:pPr>
        <w:jc w:val="both"/>
        <w:rPr>
          <w:rFonts w:ascii="Arial" w:hAnsi="Arial" w:cs="Arial"/>
          <w:bCs/>
          <w:sz w:val="24"/>
          <w:szCs w:val="24"/>
        </w:rPr>
      </w:pPr>
    </w:p>
    <w:p w:rsidR="00DD063D" w:rsidRPr="00DD063D" w:rsidRDefault="00DD063D" w:rsidP="00DD063D">
      <w:pPr>
        <w:jc w:val="both"/>
        <w:rPr>
          <w:rFonts w:ascii="Arial" w:hAnsi="Arial" w:cs="Arial"/>
          <w:sz w:val="24"/>
          <w:szCs w:val="24"/>
        </w:rPr>
      </w:pPr>
      <w:r w:rsidRPr="00DD063D">
        <w:rPr>
          <w:rFonts w:ascii="Arial" w:hAnsi="Arial" w:cs="Arial"/>
          <w:bCs/>
          <w:sz w:val="24"/>
          <w:szCs w:val="24"/>
        </w:rPr>
        <w:t xml:space="preserve">Iniciativa: </w:t>
      </w:r>
      <w:r w:rsidRPr="00DD063D">
        <w:rPr>
          <w:rFonts w:ascii="Arial" w:hAnsi="Arial" w:cs="Arial"/>
          <w:sz w:val="24"/>
          <w:szCs w:val="24"/>
        </w:rPr>
        <w:t xml:space="preserve">Vereador Edio Lopes </w:t>
      </w:r>
    </w:p>
    <w:p w:rsidR="00DD063D" w:rsidRPr="00DD063D" w:rsidRDefault="00DD063D" w:rsidP="00DD063D">
      <w:pPr>
        <w:jc w:val="both"/>
        <w:rPr>
          <w:rFonts w:ascii="Arial" w:hAnsi="Arial" w:cs="Arial"/>
          <w:bCs/>
          <w:sz w:val="24"/>
          <w:szCs w:val="24"/>
        </w:rPr>
      </w:pPr>
    </w:p>
    <w:p w:rsidR="00DD063D" w:rsidRPr="00DD063D" w:rsidRDefault="00DD063D" w:rsidP="00DD063D">
      <w:pPr>
        <w:jc w:val="both"/>
        <w:rPr>
          <w:rFonts w:ascii="Arial" w:hAnsi="Arial" w:cs="Arial"/>
          <w:sz w:val="24"/>
          <w:szCs w:val="24"/>
        </w:rPr>
      </w:pPr>
      <w:r w:rsidRPr="00DD063D">
        <w:rPr>
          <w:rFonts w:ascii="Arial" w:hAnsi="Arial" w:cs="Arial"/>
          <w:bCs/>
          <w:sz w:val="24"/>
          <w:szCs w:val="24"/>
        </w:rPr>
        <w:t xml:space="preserve">Assunto: </w:t>
      </w:r>
      <w:r w:rsidRPr="00DD063D">
        <w:rPr>
          <w:rFonts w:ascii="Arial" w:hAnsi="Arial" w:cs="Arial"/>
          <w:sz w:val="24"/>
          <w:szCs w:val="24"/>
        </w:rPr>
        <w:t>Dispõe sobre a isenção de pagamento no ingresso de crianças com até doze anos nos eventos esportivos no Município, e dá outras providências.</w:t>
      </w:r>
    </w:p>
    <w:p w:rsidR="00DD063D" w:rsidRPr="00DD063D" w:rsidRDefault="00DD063D" w:rsidP="00DD063D">
      <w:pPr>
        <w:jc w:val="both"/>
        <w:rPr>
          <w:rFonts w:ascii="Arial" w:hAnsi="Arial" w:cs="Arial"/>
          <w:b/>
          <w:bCs/>
          <w:sz w:val="24"/>
          <w:szCs w:val="24"/>
        </w:rPr>
      </w:pPr>
    </w:p>
    <w:p w:rsid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  <w:r w:rsidRPr="00DD063D">
        <w:rPr>
          <w:rFonts w:ascii="Arial" w:hAnsi="Arial" w:cs="Arial"/>
          <w:sz w:val="24"/>
          <w:szCs w:val="24"/>
          <w:lang w:eastAsia="en-US"/>
        </w:rPr>
        <w:tab/>
      </w:r>
      <w:r w:rsidRPr="00DD063D">
        <w:rPr>
          <w:rFonts w:ascii="Arial" w:hAnsi="Arial" w:cs="Arial"/>
          <w:sz w:val="24"/>
          <w:szCs w:val="24"/>
          <w:lang w:eastAsia="en-US"/>
        </w:rPr>
        <w:tab/>
        <w:t xml:space="preserve">Não obstante a intenção digna de encômio do nobre parlamentar, a propositura </w:t>
      </w:r>
      <w:r w:rsidR="005F57A4">
        <w:rPr>
          <w:rFonts w:ascii="Arial" w:hAnsi="Arial" w:cs="Arial"/>
          <w:sz w:val="24"/>
          <w:szCs w:val="24"/>
          <w:lang w:eastAsia="en-US"/>
        </w:rPr>
        <w:t>substitutiva padece dos mesmos hialinos</w:t>
      </w:r>
      <w:r w:rsidRPr="00DD063D">
        <w:rPr>
          <w:rFonts w:ascii="Arial" w:hAnsi="Arial" w:cs="Arial"/>
          <w:sz w:val="24"/>
          <w:szCs w:val="24"/>
          <w:lang w:eastAsia="en-US"/>
        </w:rPr>
        <w:t xml:space="preserve"> vícios de inconstitucionalidades</w:t>
      </w:r>
      <w:r w:rsidR="005F57A4">
        <w:rPr>
          <w:rFonts w:ascii="Arial" w:hAnsi="Arial" w:cs="Arial"/>
          <w:sz w:val="24"/>
          <w:szCs w:val="24"/>
          <w:lang w:eastAsia="en-US"/>
        </w:rPr>
        <w:t xml:space="preserve"> observados no</w:t>
      </w:r>
      <w:r w:rsidR="00F24667">
        <w:rPr>
          <w:rFonts w:ascii="Arial" w:hAnsi="Arial" w:cs="Arial"/>
          <w:sz w:val="24"/>
          <w:szCs w:val="24"/>
          <w:lang w:eastAsia="en-US"/>
        </w:rPr>
        <w:t>s</w:t>
      </w:r>
      <w:r w:rsidR="005F57A4">
        <w:rPr>
          <w:rFonts w:ascii="Arial" w:hAnsi="Arial" w:cs="Arial"/>
          <w:sz w:val="24"/>
          <w:szCs w:val="24"/>
          <w:lang w:eastAsia="en-US"/>
        </w:rPr>
        <w:t xml:space="preserve"> </w:t>
      </w:r>
      <w:r w:rsidR="00F24667">
        <w:rPr>
          <w:rFonts w:ascii="Arial" w:hAnsi="Arial" w:cs="Arial"/>
          <w:sz w:val="24"/>
          <w:szCs w:val="24"/>
          <w:lang w:eastAsia="en-US"/>
        </w:rPr>
        <w:t>pa</w:t>
      </w:r>
      <w:r w:rsidR="005F57A4">
        <w:rPr>
          <w:rFonts w:ascii="Arial" w:hAnsi="Arial" w:cs="Arial"/>
          <w:sz w:val="24"/>
          <w:szCs w:val="24"/>
          <w:lang w:eastAsia="en-US"/>
        </w:rPr>
        <w:t>recer</w:t>
      </w:r>
      <w:r w:rsidR="00F24667">
        <w:rPr>
          <w:rFonts w:ascii="Arial" w:hAnsi="Arial" w:cs="Arial"/>
          <w:sz w:val="24"/>
          <w:szCs w:val="24"/>
          <w:lang w:eastAsia="en-US"/>
        </w:rPr>
        <w:t>es</w:t>
      </w:r>
      <w:r w:rsidR="005F57A4">
        <w:rPr>
          <w:rFonts w:ascii="Arial" w:hAnsi="Arial" w:cs="Arial"/>
          <w:sz w:val="24"/>
          <w:szCs w:val="24"/>
          <w:lang w:eastAsia="en-US"/>
        </w:rPr>
        <w:t xml:space="preserve"> nº 184/2019</w:t>
      </w:r>
      <w:r w:rsidR="00F24667">
        <w:rPr>
          <w:rFonts w:ascii="Arial" w:hAnsi="Arial" w:cs="Arial"/>
          <w:sz w:val="24"/>
          <w:szCs w:val="24"/>
          <w:lang w:eastAsia="en-US"/>
        </w:rPr>
        <w:t xml:space="preserve"> e nº 383/2019</w:t>
      </w:r>
      <w:r w:rsidR="005F57A4">
        <w:rPr>
          <w:rFonts w:ascii="Arial" w:hAnsi="Arial" w:cs="Arial"/>
          <w:sz w:val="24"/>
          <w:szCs w:val="24"/>
          <w:lang w:eastAsia="en-US"/>
        </w:rPr>
        <w:t xml:space="preserve">, desta Comissão – que afirmara ser inconstitucional a propositura inaugural </w:t>
      </w:r>
      <w:r w:rsidR="00F24667">
        <w:rPr>
          <w:rFonts w:ascii="Arial" w:hAnsi="Arial" w:cs="Arial"/>
          <w:sz w:val="24"/>
          <w:szCs w:val="24"/>
          <w:lang w:eastAsia="en-US"/>
        </w:rPr>
        <w:t xml:space="preserve">e o Substitutivo nº 01, respectivamente </w:t>
      </w:r>
      <w:r w:rsidR="005F57A4">
        <w:rPr>
          <w:rFonts w:ascii="Arial" w:hAnsi="Arial" w:cs="Arial"/>
          <w:sz w:val="24"/>
          <w:szCs w:val="24"/>
          <w:lang w:eastAsia="en-US"/>
        </w:rPr>
        <w:t xml:space="preserve">– vistos </w:t>
      </w:r>
      <w:r w:rsidRPr="00DD063D">
        <w:rPr>
          <w:rFonts w:ascii="Arial" w:hAnsi="Arial" w:cs="Arial"/>
          <w:sz w:val="24"/>
          <w:szCs w:val="24"/>
          <w:lang w:eastAsia="en-US"/>
        </w:rPr>
        <w:t xml:space="preserve">em suas perspectivas formal (subjetiva e orgânica) e material. </w:t>
      </w:r>
    </w:p>
    <w:p w:rsidR="00767120" w:rsidRDefault="00767120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</w:p>
    <w:p w:rsidR="00767120" w:rsidRPr="00DD063D" w:rsidRDefault="00767120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  <w:t xml:space="preserve">O substitutivo em análise apenas se difere do </w:t>
      </w:r>
      <w:r w:rsidR="00F24667">
        <w:rPr>
          <w:rFonts w:ascii="Arial" w:hAnsi="Arial" w:cs="Arial"/>
          <w:sz w:val="24"/>
          <w:szCs w:val="24"/>
          <w:lang w:eastAsia="en-US"/>
        </w:rPr>
        <w:t>anterior</w:t>
      </w:r>
      <w:r>
        <w:rPr>
          <w:rFonts w:ascii="Arial" w:hAnsi="Arial" w:cs="Arial"/>
          <w:sz w:val="24"/>
          <w:szCs w:val="24"/>
          <w:lang w:eastAsia="en-US"/>
        </w:rPr>
        <w:t xml:space="preserve"> porque </w:t>
      </w:r>
      <w:r w:rsidR="00DC3F88">
        <w:rPr>
          <w:rFonts w:ascii="Arial" w:hAnsi="Arial" w:cs="Arial"/>
          <w:sz w:val="24"/>
          <w:szCs w:val="24"/>
          <w:lang w:eastAsia="en-US"/>
        </w:rPr>
        <w:t>se e</w:t>
      </w:r>
      <w:r w:rsidR="00DC3F88" w:rsidRPr="00DC3F88">
        <w:rPr>
          <w:rFonts w:ascii="Arial" w:hAnsi="Arial" w:cs="Arial"/>
          <w:sz w:val="24"/>
          <w:szCs w:val="24"/>
          <w:lang w:eastAsia="en-US"/>
        </w:rPr>
        <w:t xml:space="preserve">stá reduzindo a 20% o percentual destinado a isenção, dentro dos 40% do total de ingressos </w:t>
      </w:r>
      <w:r w:rsidR="00DC3F88">
        <w:rPr>
          <w:rFonts w:ascii="Arial" w:hAnsi="Arial" w:cs="Arial"/>
          <w:sz w:val="24"/>
          <w:szCs w:val="24"/>
          <w:lang w:eastAsia="en-US"/>
        </w:rPr>
        <w:t>disponíveis para a meia-entrada</w:t>
      </w:r>
      <w:r>
        <w:rPr>
          <w:rFonts w:ascii="Arial" w:hAnsi="Arial" w:cs="Arial"/>
          <w:sz w:val="24"/>
          <w:szCs w:val="24"/>
          <w:lang w:eastAsia="en-US"/>
        </w:rPr>
        <w:t>.</w:t>
      </w: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</w:p>
    <w:p w:rsidR="00526EB6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  <w:r w:rsidRPr="00DD063D">
        <w:rPr>
          <w:rFonts w:ascii="Arial" w:hAnsi="Arial" w:cs="Arial"/>
          <w:sz w:val="24"/>
          <w:szCs w:val="24"/>
          <w:lang w:eastAsia="en-US"/>
        </w:rPr>
        <w:tab/>
      </w:r>
      <w:r w:rsidRPr="00DD063D">
        <w:rPr>
          <w:rFonts w:ascii="Arial" w:hAnsi="Arial" w:cs="Arial"/>
          <w:sz w:val="24"/>
          <w:szCs w:val="24"/>
          <w:lang w:eastAsia="en-US"/>
        </w:rPr>
        <w:tab/>
        <w:t xml:space="preserve">Diante do aspecto primário, cumpre destacar que ao analisar a processualística legislativa que se deve constitucionalmente adotar e confrontá-la com a produção legislativa da propositura, quanto à forma orgânica desta, percebe-se claramente que o Município não possui competência para legislar sobre o assunto, </w:t>
      </w:r>
      <w:r w:rsidRPr="00DD063D">
        <w:rPr>
          <w:rFonts w:ascii="Arial" w:hAnsi="Arial" w:cs="Arial"/>
          <w:i/>
          <w:sz w:val="24"/>
          <w:szCs w:val="24"/>
          <w:lang w:eastAsia="en-US"/>
        </w:rPr>
        <w:t xml:space="preserve">in </w:t>
      </w:r>
      <w:proofErr w:type="spellStart"/>
      <w:r w:rsidRPr="00DD063D">
        <w:rPr>
          <w:rFonts w:ascii="Arial" w:hAnsi="Arial" w:cs="Arial"/>
          <w:i/>
          <w:sz w:val="24"/>
          <w:szCs w:val="24"/>
          <w:lang w:eastAsia="en-US"/>
        </w:rPr>
        <w:t>casu</w:t>
      </w:r>
      <w:proofErr w:type="spellEnd"/>
      <w:r w:rsidRPr="00DD063D">
        <w:rPr>
          <w:rFonts w:ascii="Arial" w:hAnsi="Arial" w:cs="Arial"/>
          <w:sz w:val="24"/>
          <w:szCs w:val="24"/>
          <w:lang w:eastAsia="en-US"/>
        </w:rPr>
        <w:t xml:space="preserve">, uma vez que há legislação nacional vigente que não permite a ingerência proposta no âmbito municipal. </w:t>
      </w:r>
    </w:p>
    <w:p w:rsidR="00526EB6" w:rsidRDefault="00526EB6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</w:p>
    <w:p w:rsidR="00DD063D" w:rsidRPr="00DD063D" w:rsidRDefault="00526EB6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</w:r>
      <w:r w:rsidR="00DD063D" w:rsidRPr="00DD063D">
        <w:rPr>
          <w:rFonts w:ascii="Arial" w:hAnsi="Arial" w:cs="Arial"/>
          <w:sz w:val="24"/>
          <w:szCs w:val="24"/>
          <w:lang w:eastAsia="en-US"/>
        </w:rPr>
        <w:t xml:space="preserve">Em suma, não é possível o Município ir além do que fora apregoado por lei federal sobre o mesmo assunto, o que não </w:t>
      </w:r>
      <w:r w:rsidR="00B64108">
        <w:rPr>
          <w:rFonts w:ascii="Arial" w:hAnsi="Arial" w:cs="Arial"/>
          <w:sz w:val="24"/>
          <w:szCs w:val="24"/>
          <w:lang w:eastAsia="en-US"/>
        </w:rPr>
        <w:t xml:space="preserve">se </w:t>
      </w:r>
      <w:r w:rsidR="00DD063D" w:rsidRPr="00DD063D">
        <w:rPr>
          <w:rFonts w:ascii="Arial" w:hAnsi="Arial" w:cs="Arial"/>
          <w:sz w:val="24"/>
          <w:szCs w:val="24"/>
          <w:lang w:eastAsia="en-US"/>
        </w:rPr>
        <w:t>coadunaria com o que dispõe o art. 30, II, da Constituição Federal (CF).</w:t>
      </w: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  <w:r w:rsidRPr="00DD063D">
        <w:rPr>
          <w:rFonts w:ascii="Arial" w:hAnsi="Arial" w:cs="Arial"/>
          <w:sz w:val="24"/>
          <w:szCs w:val="24"/>
          <w:lang w:eastAsia="en-US"/>
        </w:rPr>
        <w:tab/>
      </w:r>
      <w:r w:rsidRPr="00DD063D">
        <w:rPr>
          <w:rFonts w:ascii="Arial" w:hAnsi="Arial" w:cs="Arial"/>
          <w:sz w:val="24"/>
          <w:szCs w:val="24"/>
          <w:lang w:eastAsia="en-US"/>
        </w:rPr>
        <w:tab/>
        <w:t xml:space="preserve"> Acontece que tanto o projeto em comento quanto a Lei Federal nº 12.933, de 26 de dezembro de 2013, comumente conhecida como “lei da meia-entrada”, possuem o escopo de – diante da especial condição de pessoa em formação </w:t>
      </w:r>
      <w:r w:rsidR="00DC3F88" w:rsidRPr="00DD063D">
        <w:rPr>
          <w:rFonts w:ascii="Arial" w:hAnsi="Arial" w:cs="Arial"/>
          <w:sz w:val="24"/>
          <w:szCs w:val="24"/>
          <w:lang w:eastAsia="en-US"/>
        </w:rPr>
        <w:t>sociocultural</w:t>
      </w:r>
      <w:r w:rsidRPr="00DD063D">
        <w:rPr>
          <w:rFonts w:ascii="Arial" w:hAnsi="Arial" w:cs="Arial"/>
          <w:sz w:val="24"/>
          <w:szCs w:val="24"/>
          <w:lang w:eastAsia="en-US"/>
        </w:rPr>
        <w:t xml:space="preserve"> das crianças – conferir a esta tratamento diferenciado e amplitude de acesso à cultura e ao esporte, havendo diferenciação entre a lei e o projeto ao passo que aquela, ademais, porquanto os menores de 12 (doze) anos são obrigados a frequentarem escolas desde a educação básica, por força da Constituição Federal e da legislação infraconstitucional – conferiu tal acesso aos estudantes, o que engloba tais crianças e ratifica a obrigatoriedade destas serem estudantes. </w:t>
      </w: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  <w:r w:rsidRPr="00DD063D">
        <w:rPr>
          <w:rFonts w:ascii="Arial" w:hAnsi="Arial" w:cs="Arial"/>
          <w:sz w:val="24"/>
          <w:szCs w:val="24"/>
          <w:lang w:eastAsia="en-US"/>
        </w:rPr>
        <w:lastRenderedPageBreak/>
        <w:tab/>
      </w:r>
      <w:r w:rsidRPr="00DD063D">
        <w:rPr>
          <w:rFonts w:ascii="Arial" w:hAnsi="Arial" w:cs="Arial"/>
          <w:sz w:val="24"/>
          <w:szCs w:val="24"/>
          <w:lang w:eastAsia="en-US"/>
        </w:rPr>
        <w:tab/>
        <w:t xml:space="preserve">Nesse diapasão, a União já legislou acerca da temática, não havendo preponderante interesse local que justificaria tal legislação no Município de Araraquara, tratando-se de interesse </w:t>
      </w:r>
      <w:proofErr w:type="spellStart"/>
      <w:r w:rsidRPr="00DD063D">
        <w:rPr>
          <w:rFonts w:ascii="Arial" w:hAnsi="Arial" w:cs="Arial"/>
          <w:sz w:val="24"/>
          <w:szCs w:val="24"/>
          <w:lang w:eastAsia="en-US"/>
        </w:rPr>
        <w:t>hialinamente</w:t>
      </w:r>
      <w:proofErr w:type="spellEnd"/>
      <w:r w:rsidRPr="00DD063D">
        <w:rPr>
          <w:rFonts w:ascii="Arial" w:hAnsi="Arial" w:cs="Arial"/>
          <w:sz w:val="24"/>
          <w:szCs w:val="24"/>
          <w:lang w:eastAsia="en-US"/>
        </w:rPr>
        <w:t xml:space="preserve"> nacional, o que torna a propositura formalmente inconstitucional (via orgânica).</w:t>
      </w: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DD063D">
        <w:rPr>
          <w:rFonts w:ascii="Arial" w:hAnsi="Arial" w:cs="Arial"/>
          <w:sz w:val="24"/>
          <w:szCs w:val="24"/>
          <w:lang w:eastAsia="en-US"/>
        </w:rPr>
        <w:tab/>
      </w:r>
      <w:r w:rsidRPr="00DD063D">
        <w:rPr>
          <w:rFonts w:ascii="Arial" w:hAnsi="Arial" w:cs="Arial"/>
          <w:sz w:val="24"/>
          <w:szCs w:val="24"/>
          <w:lang w:eastAsia="en-US"/>
        </w:rPr>
        <w:tab/>
        <w:t>Prosseguindo-se com a verificação da forma da propositura, o tema circundante a esta é de competência privativa do Chefe do Executivo Municipal, porquanto o acesso das crianças seria, também, em próprios municipais, isto é, em bens públicos de uso especial, integrantes do patrimônio municipal, competindo o regulamento do seu uso e acesso ao Prefeito de Araraquara, a quem compete, inclusive, dispor, nos termos do inciso XX, do art. 112, da Lei Orgânica deste Município, de tarifas e preços públicos concernentes aos seus próprios), as quais o Tribunal de Justiça de São Paulo (TJSP) entendeu se tratar no acórdão relativo ao processo que o eminente edil cita em sua justificativa</w:t>
      </w:r>
      <w:r w:rsidR="00B64108">
        <w:rPr>
          <w:rFonts w:ascii="Arial" w:hAnsi="Arial" w:cs="Arial"/>
          <w:sz w:val="24"/>
          <w:szCs w:val="24"/>
          <w:lang w:eastAsia="en-US"/>
        </w:rPr>
        <w:t xml:space="preserve"> da propositura original</w:t>
      </w:r>
      <w:r w:rsidRPr="00DD063D">
        <w:rPr>
          <w:rFonts w:ascii="Arial" w:hAnsi="Arial" w:cs="Arial"/>
          <w:sz w:val="24"/>
          <w:szCs w:val="24"/>
          <w:lang w:eastAsia="en-US"/>
        </w:rPr>
        <w:t xml:space="preserve">. </w:t>
      </w: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  <w:r w:rsidRPr="00DD063D">
        <w:rPr>
          <w:rFonts w:ascii="Arial" w:hAnsi="Arial" w:cs="Arial"/>
          <w:sz w:val="24"/>
          <w:szCs w:val="24"/>
          <w:lang w:eastAsia="en-US"/>
        </w:rPr>
        <w:tab/>
      </w:r>
      <w:r w:rsidRPr="00DD063D">
        <w:rPr>
          <w:rFonts w:ascii="Arial" w:hAnsi="Arial" w:cs="Arial"/>
          <w:sz w:val="24"/>
          <w:szCs w:val="24"/>
          <w:lang w:eastAsia="en-US"/>
        </w:rPr>
        <w:tab/>
        <w:t xml:space="preserve">Assim, é induvidoso que a propositura, insista-se, imbuída de bom olhar, invadiu o campo privativo legislativo do Executivo Municipal, único ente, assim visto no panorama de pessoa de direito público, a quem está confiada a autoridade de legislar sobre seus próprios de uso especial e eventuais tarifas e preços públicos concernentes a estes, o que sobrepõe a inconstitucionalidade formal também neste campo. </w:t>
      </w: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  <w:r w:rsidRPr="00DD063D">
        <w:rPr>
          <w:rFonts w:ascii="Arial" w:hAnsi="Arial" w:cs="Arial"/>
          <w:sz w:val="24"/>
          <w:szCs w:val="24"/>
          <w:lang w:eastAsia="en-US"/>
        </w:rPr>
        <w:tab/>
      </w:r>
      <w:r w:rsidRPr="00DD063D">
        <w:rPr>
          <w:rFonts w:ascii="Arial" w:hAnsi="Arial" w:cs="Arial"/>
          <w:sz w:val="24"/>
          <w:szCs w:val="24"/>
          <w:lang w:eastAsia="en-US"/>
        </w:rPr>
        <w:tab/>
        <w:t xml:space="preserve">Noutro rumo, é de suma importância ampliar os horizontes jurídicos de análise e se embarcar na via </w:t>
      </w:r>
      <w:proofErr w:type="spellStart"/>
      <w:r w:rsidRPr="00DD063D">
        <w:rPr>
          <w:rFonts w:ascii="Arial" w:hAnsi="Arial" w:cs="Arial"/>
          <w:sz w:val="24"/>
          <w:szCs w:val="24"/>
          <w:lang w:eastAsia="en-US"/>
        </w:rPr>
        <w:t>neoconstitucional</w:t>
      </w:r>
      <w:proofErr w:type="spellEnd"/>
      <w:r w:rsidRPr="00DD063D">
        <w:rPr>
          <w:rFonts w:ascii="Arial" w:hAnsi="Arial" w:cs="Arial"/>
          <w:sz w:val="24"/>
          <w:szCs w:val="24"/>
          <w:lang w:eastAsia="en-US"/>
        </w:rPr>
        <w:t xml:space="preserve"> da </w:t>
      </w:r>
      <w:proofErr w:type="spellStart"/>
      <w:r w:rsidRPr="00DD063D">
        <w:rPr>
          <w:rFonts w:ascii="Arial" w:hAnsi="Arial" w:cs="Arial"/>
          <w:sz w:val="24"/>
          <w:szCs w:val="24"/>
          <w:lang w:eastAsia="en-US"/>
        </w:rPr>
        <w:t>principiologia</w:t>
      </w:r>
      <w:proofErr w:type="spellEnd"/>
      <w:r w:rsidRPr="00DD063D">
        <w:rPr>
          <w:rFonts w:ascii="Arial" w:hAnsi="Arial" w:cs="Arial"/>
          <w:sz w:val="24"/>
          <w:szCs w:val="24"/>
          <w:lang w:eastAsia="en-US"/>
        </w:rPr>
        <w:t xml:space="preserve">, dando um relevo – no caso em tela – ao princípio da proporcionalidade, o qual chama a atenção em virtude de recente julgado do E. STF (ADI nº 907, Relator: Min. Alexandre de Moraes, Relator(a) p/ Acórdão: Min. Roberto Barroso. Tribunal Pleno, julgado em 01/08/2017, Acórdão Eletrônico DJe-266. Public. 24-11-2017), no qual se fincou o entendimento de que a “restrição exagerada à atividade econômica e à livre iniciativa” lhe ofende veementemente. </w:t>
      </w: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  <w:r w:rsidRPr="00DD063D">
        <w:rPr>
          <w:rFonts w:ascii="Arial" w:hAnsi="Arial" w:cs="Arial"/>
          <w:sz w:val="24"/>
          <w:szCs w:val="24"/>
          <w:lang w:eastAsia="en-US"/>
        </w:rPr>
        <w:tab/>
      </w:r>
      <w:r w:rsidRPr="00DD063D">
        <w:rPr>
          <w:rFonts w:ascii="Arial" w:hAnsi="Arial" w:cs="Arial"/>
          <w:sz w:val="24"/>
          <w:szCs w:val="24"/>
          <w:lang w:eastAsia="en-US"/>
        </w:rPr>
        <w:tab/>
        <w:t>Nesta esteira e por consequência do que fora anteriormente averbado, a propositura</w:t>
      </w:r>
      <w:r w:rsidR="00CB6A16">
        <w:rPr>
          <w:rFonts w:ascii="Arial" w:hAnsi="Arial" w:cs="Arial"/>
          <w:sz w:val="24"/>
          <w:szCs w:val="24"/>
          <w:lang w:eastAsia="en-US"/>
        </w:rPr>
        <w:t xml:space="preserve"> substitutiva</w:t>
      </w:r>
      <w:r w:rsidRPr="00DD063D">
        <w:rPr>
          <w:rFonts w:ascii="Arial" w:hAnsi="Arial" w:cs="Arial"/>
          <w:sz w:val="24"/>
          <w:szCs w:val="24"/>
          <w:lang w:eastAsia="en-US"/>
        </w:rPr>
        <w:t xml:space="preserve"> em análise também é substancialmente inconstitucional por afronta ao princípio da proporcionalidade, pois medida inadequada, desnecessária e desproporcional em sentido estrito, tripé de verificação deste princípio.</w:t>
      </w: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  <w:r w:rsidRPr="00DD063D">
        <w:rPr>
          <w:rFonts w:ascii="Arial" w:hAnsi="Arial" w:cs="Arial"/>
          <w:sz w:val="24"/>
          <w:szCs w:val="24"/>
          <w:lang w:eastAsia="en-US"/>
        </w:rPr>
        <w:tab/>
      </w:r>
      <w:r w:rsidRPr="00DD063D">
        <w:rPr>
          <w:rFonts w:ascii="Arial" w:hAnsi="Arial" w:cs="Arial"/>
          <w:sz w:val="24"/>
          <w:szCs w:val="24"/>
          <w:lang w:eastAsia="en-US"/>
        </w:rPr>
        <w:tab/>
        <w:t xml:space="preserve">Esta afronta torna-se mais contundente quando da </w:t>
      </w:r>
      <w:r w:rsidR="003610AE">
        <w:rPr>
          <w:rFonts w:ascii="Arial" w:hAnsi="Arial" w:cs="Arial"/>
          <w:sz w:val="24"/>
          <w:szCs w:val="24"/>
          <w:lang w:eastAsia="en-US"/>
        </w:rPr>
        <w:t>leitura do §</w:t>
      </w:r>
      <w:r w:rsidR="00DC3F88">
        <w:rPr>
          <w:rFonts w:ascii="Arial" w:hAnsi="Arial" w:cs="Arial"/>
          <w:sz w:val="24"/>
          <w:szCs w:val="24"/>
          <w:lang w:eastAsia="en-US"/>
        </w:rPr>
        <w:t xml:space="preserve"> </w:t>
      </w:r>
      <w:r w:rsidRPr="00DD063D">
        <w:rPr>
          <w:rFonts w:ascii="Arial" w:hAnsi="Arial" w:cs="Arial"/>
          <w:sz w:val="24"/>
          <w:szCs w:val="24"/>
          <w:lang w:eastAsia="en-US"/>
        </w:rPr>
        <w:t xml:space="preserve">2º </w:t>
      </w:r>
      <w:r w:rsidR="003610AE">
        <w:rPr>
          <w:rFonts w:ascii="Arial" w:hAnsi="Arial" w:cs="Arial"/>
          <w:sz w:val="24"/>
          <w:szCs w:val="24"/>
          <w:lang w:eastAsia="en-US"/>
        </w:rPr>
        <w:t>do art. 1º da propositura</w:t>
      </w:r>
      <w:r w:rsidR="003074F2">
        <w:rPr>
          <w:rFonts w:ascii="Arial" w:hAnsi="Arial" w:cs="Arial"/>
          <w:sz w:val="24"/>
          <w:szCs w:val="24"/>
          <w:lang w:eastAsia="en-US"/>
        </w:rPr>
        <w:t xml:space="preserve"> em questão</w:t>
      </w:r>
      <w:r w:rsidR="003610AE">
        <w:rPr>
          <w:rFonts w:ascii="Arial" w:hAnsi="Arial" w:cs="Arial"/>
          <w:sz w:val="24"/>
          <w:szCs w:val="24"/>
          <w:lang w:eastAsia="en-US"/>
        </w:rPr>
        <w:t>. Este te</w:t>
      </w:r>
      <w:r w:rsidRPr="00DD063D">
        <w:rPr>
          <w:rFonts w:ascii="Arial" w:hAnsi="Arial" w:cs="Arial"/>
          <w:sz w:val="24"/>
          <w:szCs w:val="24"/>
          <w:lang w:eastAsia="en-US"/>
        </w:rPr>
        <w:t>m o condão de configurar ainda mais o desequilíbrio entre a restrição empreendida à iniciativa privada e a finalidade de interesse público da medida, o que se agrava em virtude dessa já ter sido fincada nacionalmente.</w:t>
      </w: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  <w:r w:rsidRPr="00DD063D">
        <w:rPr>
          <w:rFonts w:ascii="Arial" w:hAnsi="Arial" w:cs="Arial"/>
          <w:sz w:val="24"/>
          <w:szCs w:val="24"/>
          <w:lang w:eastAsia="en-US"/>
        </w:rPr>
        <w:lastRenderedPageBreak/>
        <w:tab/>
      </w:r>
      <w:r w:rsidRPr="00DD063D">
        <w:rPr>
          <w:rFonts w:ascii="Arial" w:hAnsi="Arial" w:cs="Arial"/>
          <w:sz w:val="24"/>
          <w:szCs w:val="24"/>
          <w:lang w:eastAsia="en-US"/>
        </w:rPr>
        <w:tab/>
        <w:t>Dito isso, passa-se fundamentalmente a discorrer acerca dos subprincípios sobreditos, afirmando-se que o projeto é (i) inadequado, porque o meio empregado não se mostra idôneo para se chegar ao fim por ele perseguido, uma vez que este assim já foi amplamente pela União e solidificado por meio de lei federal, não sobrando espaço para eventual legislação municipal contrariar tal mandamento a nível nacional, (</w:t>
      </w:r>
      <w:proofErr w:type="spellStart"/>
      <w:r w:rsidRPr="00DD063D">
        <w:rPr>
          <w:rFonts w:ascii="Arial" w:hAnsi="Arial" w:cs="Arial"/>
          <w:sz w:val="24"/>
          <w:szCs w:val="24"/>
          <w:lang w:eastAsia="en-US"/>
        </w:rPr>
        <w:t>ii</w:t>
      </w:r>
      <w:proofErr w:type="spellEnd"/>
      <w:r w:rsidRPr="00DD063D">
        <w:rPr>
          <w:rFonts w:ascii="Arial" w:hAnsi="Arial" w:cs="Arial"/>
          <w:sz w:val="24"/>
          <w:szCs w:val="24"/>
          <w:lang w:eastAsia="en-US"/>
        </w:rPr>
        <w:t>) desnecessário, pois esta lei federal também se traduz em meio menos gravoso para a consecução dos fins visados e (</w:t>
      </w:r>
      <w:proofErr w:type="spellStart"/>
      <w:r w:rsidRPr="00DD063D">
        <w:rPr>
          <w:rFonts w:ascii="Arial" w:hAnsi="Arial" w:cs="Arial"/>
          <w:sz w:val="24"/>
          <w:szCs w:val="24"/>
          <w:lang w:eastAsia="en-US"/>
        </w:rPr>
        <w:t>iii</w:t>
      </w:r>
      <w:proofErr w:type="spellEnd"/>
      <w:r w:rsidRPr="00DD063D">
        <w:rPr>
          <w:rFonts w:ascii="Arial" w:hAnsi="Arial" w:cs="Arial"/>
          <w:sz w:val="24"/>
          <w:szCs w:val="24"/>
          <w:lang w:eastAsia="en-US"/>
        </w:rPr>
        <w:t>) desproporcional em sentido estrito, haja vista que o ônus imposto por tal projeto traz muito mais malefícios do que benefícios.</w:t>
      </w: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</w:p>
    <w:p w:rsidR="00DD063D" w:rsidRPr="00DD063D" w:rsidRDefault="003610AE" w:rsidP="003610AE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  <w:r>
        <w:rPr>
          <w:rFonts w:ascii="Arial" w:hAnsi="Arial" w:cs="Arial"/>
          <w:sz w:val="24"/>
          <w:szCs w:val="24"/>
          <w:lang w:eastAsia="en-US"/>
        </w:rPr>
        <w:tab/>
      </w:r>
      <w:r>
        <w:rPr>
          <w:rFonts w:ascii="Arial" w:hAnsi="Arial" w:cs="Arial"/>
          <w:sz w:val="24"/>
          <w:szCs w:val="24"/>
          <w:lang w:eastAsia="en-US"/>
        </w:rPr>
        <w:tab/>
        <w:t xml:space="preserve">Mais malefícios porque, inclusive, </w:t>
      </w:r>
      <w:r w:rsidR="00DD063D" w:rsidRPr="00DD063D">
        <w:rPr>
          <w:rFonts w:ascii="Arial" w:hAnsi="Arial" w:cs="Arial"/>
          <w:sz w:val="24"/>
          <w:szCs w:val="24"/>
          <w:lang w:eastAsia="en-US"/>
        </w:rPr>
        <w:t>há a estipulação de que 2</w:t>
      </w:r>
      <w:r w:rsidR="00DC3F88">
        <w:rPr>
          <w:rFonts w:ascii="Arial" w:hAnsi="Arial" w:cs="Arial"/>
          <w:sz w:val="24"/>
          <w:szCs w:val="24"/>
          <w:lang w:eastAsia="en-US"/>
        </w:rPr>
        <w:t>0</w:t>
      </w:r>
      <w:r w:rsidR="00DD063D" w:rsidRPr="00DD063D">
        <w:rPr>
          <w:rFonts w:ascii="Arial" w:hAnsi="Arial" w:cs="Arial"/>
          <w:sz w:val="24"/>
          <w:szCs w:val="24"/>
          <w:lang w:eastAsia="en-US"/>
        </w:rPr>
        <w:t>% (vinte por cento) dos ingressos, dentro do percentual de 40% (quarenta por cento) obrigatório de ser concedido por meio da “lei de meia-entrada federal”, será destinado somente aos beneficiários da lei</w:t>
      </w:r>
      <w:r w:rsidR="00DC3F88">
        <w:rPr>
          <w:rFonts w:ascii="Arial" w:hAnsi="Arial" w:cs="Arial"/>
          <w:sz w:val="24"/>
          <w:szCs w:val="24"/>
          <w:lang w:eastAsia="en-US"/>
        </w:rPr>
        <w:t>.</w:t>
      </w: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  <w:r w:rsidRPr="00DD063D">
        <w:rPr>
          <w:rFonts w:ascii="Arial" w:hAnsi="Arial" w:cs="Arial"/>
          <w:sz w:val="24"/>
          <w:szCs w:val="24"/>
          <w:lang w:eastAsia="en-US"/>
        </w:rPr>
        <w:tab/>
      </w:r>
      <w:r w:rsidRPr="00DD063D">
        <w:rPr>
          <w:rFonts w:ascii="Arial" w:hAnsi="Arial" w:cs="Arial"/>
          <w:sz w:val="24"/>
          <w:szCs w:val="24"/>
          <w:lang w:eastAsia="en-US"/>
        </w:rPr>
        <w:tab/>
        <w:t xml:space="preserve">Nesta vereda, é induvidoso que o </w:t>
      </w:r>
      <w:r w:rsidR="003610AE">
        <w:rPr>
          <w:rFonts w:ascii="Arial" w:hAnsi="Arial" w:cs="Arial"/>
          <w:sz w:val="24"/>
          <w:szCs w:val="24"/>
          <w:lang w:eastAsia="en-US"/>
        </w:rPr>
        <w:t>substitutivo</w:t>
      </w:r>
      <w:r w:rsidRPr="00DD063D">
        <w:rPr>
          <w:rFonts w:ascii="Arial" w:hAnsi="Arial" w:cs="Arial"/>
          <w:sz w:val="24"/>
          <w:szCs w:val="24"/>
          <w:lang w:eastAsia="en-US"/>
        </w:rPr>
        <w:t xml:space="preserve"> é substancialmente inconstitucio</w:t>
      </w:r>
      <w:r w:rsidR="003610AE">
        <w:rPr>
          <w:rFonts w:ascii="Arial" w:hAnsi="Arial" w:cs="Arial"/>
          <w:sz w:val="24"/>
          <w:szCs w:val="24"/>
          <w:lang w:eastAsia="en-US"/>
        </w:rPr>
        <w:t>nal, já que se revela inadequado, desnecessário</w:t>
      </w:r>
      <w:r w:rsidRPr="00DD063D">
        <w:rPr>
          <w:rFonts w:ascii="Arial" w:hAnsi="Arial" w:cs="Arial"/>
          <w:sz w:val="24"/>
          <w:szCs w:val="24"/>
          <w:lang w:eastAsia="en-US"/>
        </w:rPr>
        <w:t xml:space="preserve"> para o alcance do fim público almejado e desproporcional em sentido estrito relativamente à afetação de direitos fundamentais do empresariado local e daqueles beneficiários amparados sob a égide da “lei federal de meia-entrada</w:t>
      </w:r>
      <w:r w:rsidR="003610AE">
        <w:rPr>
          <w:rFonts w:ascii="Arial" w:hAnsi="Arial" w:cs="Arial"/>
          <w:sz w:val="24"/>
          <w:szCs w:val="24"/>
          <w:lang w:eastAsia="en-US"/>
        </w:rPr>
        <w:t>”</w:t>
      </w:r>
      <w:r w:rsidRPr="00DD063D">
        <w:rPr>
          <w:rFonts w:ascii="Arial" w:hAnsi="Arial" w:cs="Arial"/>
          <w:sz w:val="24"/>
          <w:szCs w:val="24"/>
          <w:lang w:eastAsia="en-US"/>
        </w:rPr>
        <w:t xml:space="preserve">. </w:t>
      </w: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  <w:r w:rsidRPr="00DD063D">
        <w:rPr>
          <w:rFonts w:ascii="Arial" w:hAnsi="Arial" w:cs="Arial"/>
          <w:sz w:val="24"/>
          <w:szCs w:val="24"/>
          <w:lang w:eastAsia="en-US"/>
        </w:rPr>
        <w:tab/>
      </w:r>
      <w:r w:rsidRPr="00DD063D">
        <w:rPr>
          <w:rFonts w:ascii="Arial" w:hAnsi="Arial" w:cs="Arial"/>
          <w:sz w:val="24"/>
          <w:szCs w:val="24"/>
          <w:lang w:eastAsia="en-US"/>
        </w:rPr>
        <w:tab/>
        <w:t xml:space="preserve">Ante o discorrido, o </w:t>
      </w:r>
      <w:r w:rsidR="003610AE">
        <w:rPr>
          <w:rFonts w:ascii="Arial" w:hAnsi="Arial" w:cs="Arial"/>
          <w:sz w:val="24"/>
          <w:szCs w:val="24"/>
          <w:lang w:eastAsia="en-US"/>
        </w:rPr>
        <w:t xml:space="preserve">Substitutivo </w:t>
      </w:r>
      <w:r w:rsidR="00DC3F88">
        <w:rPr>
          <w:rFonts w:ascii="Arial" w:hAnsi="Arial" w:cs="Arial"/>
          <w:sz w:val="24"/>
          <w:szCs w:val="24"/>
          <w:lang w:eastAsia="en-US"/>
        </w:rPr>
        <w:t xml:space="preserve">nº 02 </w:t>
      </w:r>
      <w:bookmarkStart w:id="0" w:name="_GoBack"/>
      <w:bookmarkEnd w:id="0"/>
      <w:r w:rsidR="003610AE">
        <w:rPr>
          <w:rFonts w:ascii="Arial" w:hAnsi="Arial" w:cs="Arial"/>
          <w:sz w:val="24"/>
          <w:szCs w:val="24"/>
          <w:lang w:eastAsia="en-US"/>
        </w:rPr>
        <w:t xml:space="preserve">ao </w:t>
      </w:r>
      <w:r w:rsidRPr="00DD063D">
        <w:rPr>
          <w:rFonts w:ascii="Arial" w:hAnsi="Arial" w:cs="Arial"/>
          <w:sz w:val="24"/>
          <w:szCs w:val="24"/>
          <w:lang w:eastAsia="en-US"/>
        </w:rPr>
        <w:t xml:space="preserve">Projeto de Lei nº 084/2019 é, por todos os lados, inconstitucional, não devendo prosperar pelas razões aqui ventiladas, por isto. </w:t>
      </w: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jc w:val="both"/>
        <w:rPr>
          <w:rFonts w:ascii="Arial" w:hAnsi="Arial" w:cs="Arial"/>
          <w:sz w:val="24"/>
          <w:szCs w:val="24"/>
          <w:lang w:eastAsia="en-US"/>
        </w:rPr>
      </w:pPr>
      <w:r w:rsidRPr="00DD063D">
        <w:rPr>
          <w:rFonts w:ascii="Arial" w:hAnsi="Arial" w:cs="Arial"/>
          <w:sz w:val="24"/>
          <w:szCs w:val="24"/>
          <w:lang w:eastAsia="en-US"/>
        </w:rPr>
        <w:tab/>
      </w: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  <w:r w:rsidRPr="00DD063D">
        <w:rPr>
          <w:rFonts w:ascii="Arial" w:hAnsi="Arial" w:cs="Arial"/>
          <w:sz w:val="24"/>
          <w:szCs w:val="24"/>
          <w:lang w:eastAsia="en-US"/>
        </w:rPr>
        <w:tab/>
      </w:r>
      <w:r w:rsidRPr="00DD063D">
        <w:rPr>
          <w:rFonts w:ascii="Arial" w:hAnsi="Arial" w:cs="Arial"/>
          <w:sz w:val="24"/>
          <w:szCs w:val="24"/>
          <w:lang w:eastAsia="en-US"/>
        </w:rPr>
        <w:tab/>
        <w:t>Quanto ao mérito, o plenário – soberano – decidirá.</w:t>
      </w: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  <w:r w:rsidRPr="00DD063D">
        <w:rPr>
          <w:rFonts w:ascii="Arial" w:hAnsi="Arial" w:cs="Arial"/>
          <w:sz w:val="24"/>
          <w:szCs w:val="24"/>
          <w:lang w:eastAsia="en-US"/>
        </w:rPr>
        <w:tab/>
      </w:r>
    </w:p>
    <w:p w:rsidR="00DD063D" w:rsidRPr="00DD063D" w:rsidRDefault="00DD063D" w:rsidP="00DD063D">
      <w:pPr>
        <w:tabs>
          <w:tab w:val="left" w:pos="709"/>
          <w:tab w:val="left" w:pos="1418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  <w:r w:rsidRPr="00DD063D">
        <w:rPr>
          <w:rFonts w:ascii="Arial" w:hAnsi="Arial" w:cs="Arial"/>
          <w:sz w:val="24"/>
          <w:szCs w:val="24"/>
          <w:lang w:eastAsia="en-US"/>
        </w:rPr>
        <w:tab/>
      </w:r>
      <w:r w:rsidRPr="00DD063D">
        <w:rPr>
          <w:rFonts w:ascii="Arial" w:hAnsi="Arial" w:cs="Arial"/>
          <w:sz w:val="24"/>
          <w:szCs w:val="24"/>
          <w:lang w:eastAsia="en-US"/>
        </w:rPr>
        <w:tab/>
        <w:t>É o parecer.</w:t>
      </w:r>
    </w:p>
    <w:p w:rsidR="00DD063D" w:rsidRPr="00DD063D" w:rsidRDefault="00DD063D" w:rsidP="00DD063D">
      <w:pPr>
        <w:tabs>
          <w:tab w:val="left" w:pos="993"/>
        </w:tabs>
        <w:autoSpaceDE/>
        <w:autoSpaceDN/>
        <w:spacing w:line="276" w:lineRule="auto"/>
        <w:ind w:left="34"/>
        <w:jc w:val="both"/>
        <w:rPr>
          <w:rFonts w:ascii="Arial" w:hAnsi="Arial" w:cs="Arial"/>
          <w:sz w:val="24"/>
          <w:szCs w:val="24"/>
          <w:lang w:eastAsia="en-US"/>
        </w:rPr>
      </w:pPr>
    </w:p>
    <w:p w:rsidR="00DD063D" w:rsidRPr="00DD063D" w:rsidRDefault="00DD063D" w:rsidP="003074F2">
      <w:pPr>
        <w:autoSpaceDE/>
        <w:autoSpaceDN/>
        <w:spacing w:line="276" w:lineRule="auto"/>
        <w:ind w:left="34"/>
        <w:jc w:val="center"/>
        <w:rPr>
          <w:rFonts w:ascii="Arial" w:hAnsi="Arial" w:cs="Arial"/>
          <w:bCs/>
          <w:sz w:val="26"/>
          <w:szCs w:val="26"/>
          <w:lang w:eastAsia="en-US"/>
        </w:rPr>
      </w:pPr>
      <w:r>
        <w:rPr>
          <w:rFonts w:ascii="Arial" w:hAnsi="Arial" w:cs="Arial"/>
          <w:bCs/>
          <w:sz w:val="24"/>
          <w:szCs w:val="24"/>
          <w:lang w:eastAsia="en-US"/>
        </w:rPr>
        <w:t xml:space="preserve">    </w:t>
      </w:r>
      <w:r w:rsidRPr="00DD063D">
        <w:rPr>
          <w:rFonts w:ascii="Arial" w:hAnsi="Arial" w:cs="Arial"/>
          <w:bCs/>
          <w:sz w:val="24"/>
          <w:szCs w:val="24"/>
          <w:lang w:eastAsia="en-US"/>
        </w:rPr>
        <w:t>Sala de reuniões das comissões, ______________________</w:t>
      </w:r>
    </w:p>
    <w:p w:rsidR="00DD063D" w:rsidRDefault="00DD063D" w:rsidP="00DD063D">
      <w:pPr>
        <w:jc w:val="center"/>
        <w:rPr>
          <w:rFonts w:ascii="Arial" w:hAnsi="Arial" w:cs="Arial"/>
          <w:bCs/>
          <w:sz w:val="24"/>
          <w:szCs w:val="24"/>
        </w:rPr>
      </w:pPr>
    </w:p>
    <w:p w:rsidR="003074F2" w:rsidRPr="00DD063D" w:rsidRDefault="003074F2" w:rsidP="00DD063D">
      <w:pPr>
        <w:jc w:val="center"/>
        <w:rPr>
          <w:rFonts w:ascii="Arial" w:hAnsi="Arial" w:cs="Arial"/>
          <w:bCs/>
          <w:sz w:val="24"/>
          <w:szCs w:val="24"/>
        </w:rPr>
      </w:pPr>
    </w:p>
    <w:p w:rsidR="00DD063D" w:rsidRPr="00DD063D" w:rsidRDefault="00DD063D" w:rsidP="00DD063D">
      <w:pPr>
        <w:jc w:val="center"/>
        <w:rPr>
          <w:rFonts w:ascii="Arial" w:hAnsi="Arial" w:cs="Arial"/>
          <w:bCs/>
          <w:sz w:val="24"/>
          <w:szCs w:val="24"/>
        </w:rPr>
      </w:pPr>
      <w:r w:rsidRPr="00DD063D">
        <w:rPr>
          <w:rFonts w:ascii="Arial" w:hAnsi="Arial" w:cs="Arial"/>
          <w:bCs/>
          <w:sz w:val="24"/>
          <w:szCs w:val="24"/>
        </w:rPr>
        <w:t>_____________________________</w:t>
      </w:r>
    </w:p>
    <w:p w:rsidR="00DD063D" w:rsidRPr="00DD063D" w:rsidRDefault="00DD063D" w:rsidP="00DD063D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DD063D">
        <w:rPr>
          <w:rFonts w:ascii="Arial" w:hAnsi="Arial" w:cs="Arial"/>
          <w:b/>
          <w:bCs/>
          <w:sz w:val="24"/>
          <w:szCs w:val="24"/>
        </w:rPr>
        <w:t>Paulo Landim</w:t>
      </w:r>
    </w:p>
    <w:p w:rsidR="00DD063D" w:rsidRPr="00DD063D" w:rsidRDefault="00DD063D" w:rsidP="00DD063D">
      <w:pPr>
        <w:jc w:val="center"/>
        <w:rPr>
          <w:rFonts w:ascii="Arial" w:hAnsi="Arial" w:cs="Arial"/>
          <w:bCs/>
          <w:sz w:val="24"/>
          <w:szCs w:val="24"/>
        </w:rPr>
      </w:pPr>
      <w:r w:rsidRPr="00DD063D">
        <w:rPr>
          <w:rFonts w:ascii="Arial" w:hAnsi="Arial" w:cs="Arial"/>
          <w:b/>
          <w:bCs/>
          <w:sz w:val="24"/>
          <w:szCs w:val="24"/>
        </w:rPr>
        <w:t>Presidente da CJLR</w:t>
      </w:r>
    </w:p>
    <w:p w:rsidR="00DD063D" w:rsidRPr="00DD063D" w:rsidRDefault="00DD063D" w:rsidP="00DD063D">
      <w:pPr>
        <w:jc w:val="center"/>
        <w:rPr>
          <w:rFonts w:ascii="Arial" w:hAnsi="Arial" w:cs="Arial"/>
          <w:bCs/>
          <w:sz w:val="24"/>
          <w:szCs w:val="24"/>
        </w:rPr>
      </w:pPr>
    </w:p>
    <w:p w:rsidR="00DD063D" w:rsidRPr="00DD063D" w:rsidRDefault="00DD063D" w:rsidP="00DD063D">
      <w:pPr>
        <w:jc w:val="center"/>
        <w:rPr>
          <w:rFonts w:ascii="Arial" w:hAnsi="Arial" w:cs="Arial"/>
          <w:bCs/>
          <w:sz w:val="24"/>
          <w:szCs w:val="24"/>
        </w:rPr>
      </w:pPr>
    </w:p>
    <w:p w:rsidR="00DD063D" w:rsidRPr="00DD063D" w:rsidRDefault="00DD063D" w:rsidP="00DD063D">
      <w:pPr>
        <w:jc w:val="center"/>
        <w:rPr>
          <w:rFonts w:ascii="Arial" w:hAnsi="Arial" w:cs="Arial"/>
          <w:bCs/>
          <w:sz w:val="24"/>
          <w:szCs w:val="24"/>
        </w:rPr>
      </w:pPr>
      <w:r w:rsidRPr="00DD063D">
        <w:rPr>
          <w:rFonts w:ascii="Arial" w:hAnsi="Arial" w:cs="Arial"/>
          <w:bCs/>
          <w:sz w:val="24"/>
          <w:szCs w:val="24"/>
        </w:rPr>
        <w:t>____________________________              ____________________________</w:t>
      </w:r>
    </w:p>
    <w:p w:rsidR="00B02439" w:rsidRPr="007E0248" w:rsidRDefault="00DD063D" w:rsidP="003074F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DD063D">
        <w:rPr>
          <w:rFonts w:ascii="Arial" w:hAnsi="Arial" w:cs="Arial"/>
          <w:b/>
          <w:bCs/>
          <w:sz w:val="24"/>
          <w:szCs w:val="24"/>
        </w:rPr>
        <w:t xml:space="preserve">           José Carlos Porsani </w:t>
      </w:r>
      <w:r w:rsidRPr="00DD063D"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Lucas Grecco</w:t>
      </w:r>
    </w:p>
    <w:sectPr w:rsidR="00B02439" w:rsidRPr="007E0248" w:rsidSect="00956DD8">
      <w:headerReference w:type="default" r:id="rId6"/>
      <w:footerReference w:type="default" r:id="rId7"/>
      <w:pgSz w:w="11907" w:h="16840" w:code="9"/>
      <w:pgMar w:top="1701" w:right="1134" w:bottom="1134" w:left="1701" w:header="709" w:footer="401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630" w:rsidRDefault="00853630" w:rsidP="00292D27">
      <w:r>
        <w:separator/>
      </w:r>
    </w:p>
  </w:endnote>
  <w:endnote w:type="continuationSeparator" w:id="0">
    <w:p w:rsidR="00853630" w:rsidRDefault="00853630" w:rsidP="00292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B6AFC" w:rsidRPr="00956DD8" w:rsidRDefault="00BB6AFC" w:rsidP="00BB6AFC">
    <w:pPr>
      <w:pStyle w:val="Rodap"/>
      <w:jc w:val="center"/>
      <w:rPr>
        <w:rFonts w:ascii="Cambria" w:hAnsi="Cambria"/>
        <w:b/>
        <w:szCs w:val="24"/>
      </w:rPr>
    </w:pPr>
    <w:r w:rsidRPr="00956DD8">
      <w:rPr>
        <w:rFonts w:ascii="Cambria" w:hAnsi="Cambria"/>
        <w:b/>
        <w:szCs w:val="24"/>
      </w:rPr>
      <w:t>_________________________________________________________________________________</w:t>
    </w:r>
  </w:p>
  <w:p w:rsidR="00BB6AFC" w:rsidRPr="00956DD8" w:rsidRDefault="00BB6AFC" w:rsidP="00BB6AFC">
    <w:pPr>
      <w:pStyle w:val="Rodap"/>
      <w:jc w:val="center"/>
      <w:rPr>
        <w:rFonts w:ascii="Cambria" w:hAnsi="Cambria"/>
      </w:rPr>
    </w:pPr>
    <w:r w:rsidRPr="00956DD8">
      <w:rPr>
        <w:rFonts w:ascii="Cambria" w:hAnsi="Cambria"/>
      </w:rPr>
      <w:t>Rua São Bento, 887, Centro, Araraquara - SP, CEP 14801-300</w:t>
    </w:r>
  </w:p>
  <w:p w:rsidR="00BB6AFC" w:rsidRPr="00BB6AFC" w:rsidRDefault="00BB6AFC" w:rsidP="00BB6AFC">
    <w:pPr>
      <w:pStyle w:val="Rodap"/>
      <w:jc w:val="center"/>
      <w:rPr>
        <w:rFonts w:asciiTheme="majorHAnsi" w:hAnsiTheme="majorHAnsi"/>
      </w:rPr>
    </w:pPr>
    <w:r w:rsidRPr="00BB6AFC">
      <w:rPr>
        <w:rFonts w:asciiTheme="majorHAnsi" w:hAnsiTheme="majorHAnsi"/>
      </w:rPr>
      <w:t>www.camara-arq.sp.gov.br</w:t>
    </w:r>
  </w:p>
  <w:p w:rsidR="00BB6AFC" w:rsidRPr="00BB6AFC" w:rsidRDefault="00BB6AFC">
    <w:pPr>
      <w:pStyle w:val="Rodap"/>
      <w:jc w:val="right"/>
      <w:rPr>
        <w:rFonts w:asciiTheme="majorHAnsi" w:hAnsiTheme="majorHAnsi"/>
      </w:rPr>
    </w:pPr>
    <w:r w:rsidRPr="00BB6AFC">
      <w:rPr>
        <w:rFonts w:asciiTheme="majorHAnsi" w:hAnsiTheme="majorHAnsi"/>
      </w:rPr>
      <w:t xml:space="preserve">Página </w:t>
    </w:r>
    <w:r w:rsidRPr="00BB6AFC">
      <w:rPr>
        <w:rFonts w:asciiTheme="majorHAnsi" w:hAnsiTheme="majorHAnsi"/>
        <w:b/>
        <w:bCs/>
      </w:rPr>
      <w:fldChar w:fldCharType="begin"/>
    </w:r>
    <w:r w:rsidRPr="00BB6AFC">
      <w:rPr>
        <w:rFonts w:asciiTheme="majorHAnsi" w:hAnsiTheme="majorHAnsi"/>
        <w:b/>
        <w:bCs/>
      </w:rPr>
      <w:instrText>PAGE</w:instrText>
    </w:r>
    <w:r w:rsidRPr="00BB6AFC">
      <w:rPr>
        <w:rFonts w:asciiTheme="majorHAnsi" w:hAnsiTheme="majorHAnsi"/>
        <w:b/>
        <w:bCs/>
      </w:rPr>
      <w:fldChar w:fldCharType="separate"/>
    </w:r>
    <w:r w:rsidR="00DC3F88">
      <w:rPr>
        <w:rFonts w:asciiTheme="majorHAnsi" w:hAnsiTheme="majorHAnsi"/>
        <w:b/>
        <w:bCs/>
        <w:noProof/>
      </w:rPr>
      <w:t>3</w:t>
    </w:r>
    <w:r w:rsidRPr="00BB6AFC">
      <w:rPr>
        <w:rFonts w:asciiTheme="majorHAnsi" w:hAnsiTheme="majorHAnsi"/>
        <w:b/>
        <w:bCs/>
      </w:rPr>
      <w:fldChar w:fldCharType="end"/>
    </w:r>
    <w:r w:rsidRPr="00BB6AFC">
      <w:rPr>
        <w:rFonts w:asciiTheme="majorHAnsi" w:hAnsiTheme="majorHAnsi"/>
      </w:rPr>
      <w:t xml:space="preserve"> de </w:t>
    </w:r>
    <w:r w:rsidRPr="00BB6AFC">
      <w:rPr>
        <w:rFonts w:asciiTheme="majorHAnsi" w:hAnsiTheme="majorHAnsi"/>
        <w:b/>
        <w:bCs/>
      </w:rPr>
      <w:fldChar w:fldCharType="begin"/>
    </w:r>
    <w:r w:rsidRPr="00BB6AFC">
      <w:rPr>
        <w:rFonts w:asciiTheme="majorHAnsi" w:hAnsiTheme="majorHAnsi"/>
        <w:b/>
        <w:bCs/>
      </w:rPr>
      <w:instrText>NUMPAGES</w:instrText>
    </w:r>
    <w:r w:rsidRPr="00BB6AFC">
      <w:rPr>
        <w:rFonts w:asciiTheme="majorHAnsi" w:hAnsiTheme="majorHAnsi"/>
        <w:b/>
        <w:bCs/>
      </w:rPr>
      <w:fldChar w:fldCharType="separate"/>
    </w:r>
    <w:r w:rsidR="00DC3F88">
      <w:rPr>
        <w:rFonts w:asciiTheme="majorHAnsi" w:hAnsiTheme="majorHAnsi"/>
        <w:b/>
        <w:bCs/>
        <w:noProof/>
      </w:rPr>
      <w:t>3</w:t>
    </w:r>
    <w:r w:rsidRPr="00BB6AFC">
      <w:rPr>
        <w:rFonts w:asciiTheme="majorHAnsi" w:hAnsiTheme="majorHAnsi"/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630" w:rsidRDefault="00853630" w:rsidP="00292D27">
      <w:r>
        <w:separator/>
      </w:r>
    </w:p>
  </w:footnote>
  <w:footnote w:type="continuationSeparator" w:id="0">
    <w:p w:rsidR="00853630" w:rsidRDefault="00853630" w:rsidP="00292D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6DD8" w:rsidRDefault="005551D5" w:rsidP="00F24667">
    <w:pPr>
      <w:spacing w:after="120"/>
      <w:jc w:val="center"/>
      <w:rPr>
        <w:rFonts w:ascii="Cambria" w:hAnsi="Cambria"/>
        <w:smallCaps/>
        <w:sz w:val="50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3810</wp:posOffset>
          </wp:positionH>
          <wp:positionV relativeFrom="paragraph">
            <wp:posOffset>-205105</wp:posOffset>
          </wp:positionV>
          <wp:extent cx="798195" cy="878205"/>
          <wp:effectExtent l="0" t="0" r="1905" b="0"/>
          <wp:wrapSquare wrapText="bothSides"/>
          <wp:docPr id="1" name="Imagem 1" descr="brasão - sem assinatu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- sem assinatur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195" cy="8782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56DD8" w:rsidRPr="00956DD8">
      <w:rPr>
        <w:rFonts w:ascii="Cambria" w:hAnsi="Cambria"/>
        <w:smallCaps/>
        <w:color w:val="548DD4"/>
        <w:sz w:val="50"/>
      </w:rPr>
      <w:t>Câmara Municipal de Araraquara</w:t>
    </w:r>
  </w:p>
  <w:p w:rsidR="00956DD8" w:rsidRPr="001E186C" w:rsidRDefault="00956DD8" w:rsidP="00F24667">
    <w:pPr>
      <w:jc w:val="center"/>
      <w:rPr>
        <w:rFonts w:ascii="Arial" w:hAnsi="Arial"/>
        <w:sz w:val="28"/>
        <w:szCs w:val="32"/>
      </w:rPr>
    </w:pPr>
    <w:r>
      <w:rPr>
        <w:rFonts w:ascii="Arial" w:hAnsi="Arial"/>
        <w:sz w:val="28"/>
        <w:szCs w:val="32"/>
      </w:rPr>
      <w:t>Comissão de Justiça, Legislação e Redação</w:t>
    </w:r>
  </w:p>
  <w:p w:rsidR="00956DD8" w:rsidRDefault="00956DD8" w:rsidP="00956DD8">
    <w:pPr>
      <w:pStyle w:val="Cabealho"/>
    </w:pPr>
  </w:p>
  <w:p w:rsidR="00381E73" w:rsidRPr="00956DD8" w:rsidRDefault="00381E73" w:rsidP="00956DD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402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5EE"/>
    <w:rsid w:val="000042C0"/>
    <w:rsid w:val="00026A75"/>
    <w:rsid w:val="00054884"/>
    <w:rsid w:val="0005636F"/>
    <w:rsid w:val="00064ECE"/>
    <w:rsid w:val="000743FB"/>
    <w:rsid w:val="0016222B"/>
    <w:rsid w:val="00184A5B"/>
    <w:rsid w:val="00193B15"/>
    <w:rsid w:val="001A3951"/>
    <w:rsid w:val="001E186C"/>
    <w:rsid w:val="001E6743"/>
    <w:rsid w:val="001F29F0"/>
    <w:rsid w:val="002033EF"/>
    <w:rsid w:val="00206531"/>
    <w:rsid w:val="00292D27"/>
    <w:rsid w:val="002C66E3"/>
    <w:rsid w:val="003074F2"/>
    <w:rsid w:val="00313F7E"/>
    <w:rsid w:val="003273D0"/>
    <w:rsid w:val="003470C3"/>
    <w:rsid w:val="003610AE"/>
    <w:rsid w:val="00381E73"/>
    <w:rsid w:val="003910D3"/>
    <w:rsid w:val="003E7DFC"/>
    <w:rsid w:val="003F1211"/>
    <w:rsid w:val="00423F04"/>
    <w:rsid w:val="00464265"/>
    <w:rsid w:val="00480BFC"/>
    <w:rsid w:val="00497BF0"/>
    <w:rsid w:val="004A3F0A"/>
    <w:rsid w:val="004C50B3"/>
    <w:rsid w:val="004D6249"/>
    <w:rsid w:val="004E1C5B"/>
    <w:rsid w:val="00526EB6"/>
    <w:rsid w:val="00533B60"/>
    <w:rsid w:val="005551D5"/>
    <w:rsid w:val="0056785D"/>
    <w:rsid w:val="00583878"/>
    <w:rsid w:val="00586DB5"/>
    <w:rsid w:val="005B1F20"/>
    <w:rsid w:val="005B4139"/>
    <w:rsid w:val="005D3432"/>
    <w:rsid w:val="005E689D"/>
    <w:rsid w:val="005F55EE"/>
    <w:rsid w:val="005F57A4"/>
    <w:rsid w:val="00637048"/>
    <w:rsid w:val="006B2529"/>
    <w:rsid w:val="006C718B"/>
    <w:rsid w:val="006E6EE3"/>
    <w:rsid w:val="006F0B65"/>
    <w:rsid w:val="0073425F"/>
    <w:rsid w:val="00767120"/>
    <w:rsid w:val="00782937"/>
    <w:rsid w:val="00794C8D"/>
    <w:rsid w:val="007E0248"/>
    <w:rsid w:val="007E32A8"/>
    <w:rsid w:val="00853630"/>
    <w:rsid w:val="00874E7B"/>
    <w:rsid w:val="00883E7E"/>
    <w:rsid w:val="008B5F65"/>
    <w:rsid w:val="008E655C"/>
    <w:rsid w:val="008F7C69"/>
    <w:rsid w:val="00956DD8"/>
    <w:rsid w:val="009C4CAF"/>
    <w:rsid w:val="009E0C3A"/>
    <w:rsid w:val="009E48EC"/>
    <w:rsid w:val="00A26D33"/>
    <w:rsid w:val="00A42B04"/>
    <w:rsid w:val="00A52A8A"/>
    <w:rsid w:val="00A7327E"/>
    <w:rsid w:val="00A824C5"/>
    <w:rsid w:val="00AE77C0"/>
    <w:rsid w:val="00B02439"/>
    <w:rsid w:val="00B049F7"/>
    <w:rsid w:val="00B15D8C"/>
    <w:rsid w:val="00B64108"/>
    <w:rsid w:val="00B77E1C"/>
    <w:rsid w:val="00BB6AFC"/>
    <w:rsid w:val="00BC2123"/>
    <w:rsid w:val="00BF334F"/>
    <w:rsid w:val="00C650A7"/>
    <w:rsid w:val="00C831D2"/>
    <w:rsid w:val="00CA372D"/>
    <w:rsid w:val="00CB6A16"/>
    <w:rsid w:val="00CC3B32"/>
    <w:rsid w:val="00CD4844"/>
    <w:rsid w:val="00CE12E9"/>
    <w:rsid w:val="00CE70C2"/>
    <w:rsid w:val="00CF7BD2"/>
    <w:rsid w:val="00D1748A"/>
    <w:rsid w:val="00D74F43"/>
    <w:rsid w:val="00DB683A"/>
    <w:rsid w:val="00DC3F88"/>
    <w:rsid w:val="00DD063D"/>
    <w:rsid w:val="00DD41DF"/>
    <w:rsid w:val="00DF7F7E"/>
    <w:rsid w:val="00E85707"/>
    <w:rsid w:val="00E92252"/>
    <w:rsid w:val="00E967CB"/>
    <w:rsid w:val="00EA195E"/>
    <w:rsid w:val="00ED04C4"/>
    <w:rsid w:val="00ED4A3F"/>
    <w:rsid w:val="00EE7593"/>
    <w:rsid w:val="00EF4284"/>
    <w:rsid w:val="00EF4527"/>
    <w:rsid w:val="00EF6E7D"/>
    <w:rsid w:val="00F13B87"/>
    <w:rsid w:val="00F2007D"/>
    <w:rsid w:val="00F24667"/>
    <w:rsid w:val="00F2696A"/>
    <w:rsid w:val="00F65143"/>
    <w:rsid w:val="00F91C8F"/>
    <w:rsid w:val="00F94F57"/>
    <w:rsid w:val="00FA2075"/>
    <w:rsid w:val="00FC568D"/>
    <w:rsid w:val="00FF4157"/>
    <w:rsid w:val="00FF55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  <w15:docId w15:val="{97527B80-FF0A-4AEA-A203-F1C8BFD58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locked/>
    <w:rsid w:val="00292D27"/>
    <w:pPr>
      <w:keepNext/>
      <w:ind w:left="567" w:right="-374"/>
      <w:jc w:val="both"/>
      <w:outlineLvl w:val="0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292D27"/>
    <w:rPr>
      <w:rFonts w:ascii="Arial" w:hAnsi="Arial" w:cs="Arial"/>
      <w:b/>
      <w:bCs/>
      <w:sz w:val="24"/>
      <w:szCs w:val="24"/>
    </w:rPr>
  </w:style>
  <w:style w:type="paragraph" w:styleId="Ttulo">
    <w:name w:val="Title"/>
    <w:basedOn w:val="Normal"/>
    <w:link w:val="TtuloChar"/>
    <w:uiPriority w:val="99"/>
    <w:qFormat/>
    <w:pPr>
      <w:ind w:left="567" w:right="-374"/>
      <w:jc w:val="center"/>
    </w:pPr>
    <w:rPr>
      <w:b/>
      <w:bCs/>
      <w:sz w:val="40"/>
      <w:szCs w:val="40"/>
    </w:rPr>
  </w:style>
  <w:style w:type="character" w:customStyle="1" w:styleId="TtuloChar">
    <w:name w:val="Título Char"/>
    <w:basedOn w:val="Fontepargpadro"/>
    <w:link w:val="Ttu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table" w:styleId="Tabelacomgrade">
    <w:name w:val="Table Grid"/>
    <w:basedOn w:val="Tabelanormal"/>
    <w:uiPriority w:val="99"/>
    <w:rsid w:val="00EA195E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locked/>
    <w:rsid w:val="00292D27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292D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92D27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84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8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1038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Camara Municipal Araraquara</Company>
  <LinksUpToDate>false</LinksUpToDate>
  <CharactersWithSpaces>6633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</dc:creator>
  <cp:keywords/>
  <dc:description/>
  <cp:lastModifiedBy>Valdemar M. Neto Mendonça</cp:lastModifiedBy>
  <cp:revision>4</cp:revision>
  <cp:lastPrinted>2015-04-27T21:59:00Z</cp:lastPrinted>
  <dcterms:created xsi:type="dcterms:W3CDTF">2020-01-31T14:07:00Z</dcterms:created>
  <dcterms:modified xsi:type="dcterms:W3CDTF">2020-01-31T15:08:00Z</dcterms:modified>
</cp:coreProperties>
</file>