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1468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A614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65E5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95B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E487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6545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066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4A73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259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DF6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1E93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754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BA03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8338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8BE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67396">
        <w:rPr>
          <w:rFonts w:ascii="Calibri" w:eastAsia="Arial Unicode MS" w:hAnsi="Calibri" w:cs="Calibri"/>
          <w:b/>
          <w:sz w:val="24"/>
          <w:szCs w:val="24"/>
        </w:rPr>
        <w:t>406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67396">
        <w:rPr>
          <w:rFonts w:ascii="Calibri" w:eastAsia="Arial Unicode MS" w:hAnsi="Calibri" w:cs="Calibri"/>
          <w:sz w:val="24"/>
          <w:szCs w:val="24"/>
        </w:rPr>
        <w:t>0</w:t>
      </w:r>
      <w:r w:rsidR="00BC3FA4">
        <w:rPr>
          <w:rFonts w:ascii="Calibri" w:eastAsia="Arial Unicode MS" w:hAnsi="Calibri" w:cs="Calibri"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C3FA4">
        <w:rPr>
          <w:rFonts w:ascii="Calibri" w:eastAsia="Arial Unicode MS" w:hAnsi="Calibri" w:cs="Calibri"/>
          <w:sz w:val="24"/>
          <w:szCs w:val="24"/>
        </w:rPr>
        <w:t>dez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0341" w:rsidRPr="00030341">
        <w:rPr>
          <w:rFonts w:ascii="Calibri" w:hAnsi="Calibri" w:cs="Calibri"/>
          <w:bCs/>
          <w:spacing w:val="2"/>
          <w:sz w:val="24"/>
          <w:szCs w:val="24"/>
        </w:rPr>
        <w:t>até o limite de R$ 18.311.000,00 (</w:t>
      </w:r>
      <w:r w:rsidR="00030341">
        <w:rPr>
          <w:rFonts w:ascii="Calibri" w:hAnsi="Calibri" w:cs="Calibri"/>
          <w:bCs/>
          <w:spacing w:val="2"/>
          <w:sz w:val="24"/>
          <w:szCs w:val="24"/>
        </w:rPr>
        <w:t>d</w:t>
      </w:r>
      <w:r w:rsidR="00030341" w:rsidRPr="00030341">
        <w:rPr>
          <w:rFonts w:ascii="Calibri" w:hAnsi="Calibri" w:cs="Calibri"/>
          <w:bCs/>
          <w:spacing w:val="2"/>
          <w:sz w:val="24"/>
          <w:szCs w:val="24"/>
        </w:rPr>
        <w:t>ezoito milhões, trezentos e onze mil reais)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78500B">
        <w:rPr>
          <w:rFonts w:ascii="Calibri" w:hAnsi="Calibri"/>
          <w:sz w:val="24"/>
          <w:szCs w:val="24"/>
        </w:rPr>
        <w:t xml:space="preserve">e dá outras providências. </w:t>
      </w:r>
    </w:p>
    <w:p w:rsidR="001F225C" w:rsidRPr="001F225C" w:rsidRDefault="00FB3CCA" w:rsidP="001F225C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abertura de crédito ora proposta se deve em razão da </w:t>
      </w:r>
      <w:r w:rsidR="001F225C">
        <w:rPr>
          <w:rFonts w:ascii="Calibri" w:hAnsi="Calibri" w:cs="Calibri"/>
          <w:bCs/>
          <w:sz w:val="24"/>
          <w:szCs w:val="24"/>
        </w:rPr>
        <w:t xml:space="preserve">necessidade de </w:t>
      </w:r>
      <w:r w:rsidR="001F225C" w:rsidRPr="001F225C">
        <w:rPr>
          <w:rFonts w:ascii="Calibri" w:hAnsi="Calibri" w:cs="Calibri"/>
          <w:bCs/>
          <w:sz w:val="24"/>
          <w:szCs w:val="24"/>
        </w:rPr>
        <w:t xml:space="preserve">reforçar dotações orçamentárias do Fundo Municipal de Saúde, possibilitando o pagamento dos prestadores de serviços </w:t>
      </w:r>
      <w:r w:rsidR="001F225C">
        <w:rPr>
          <w:rFonts w:ascii="Calibri" w:hAnsi="Calibri" w:cs="Calibri"/>
          <w:bCs/>
          <w:sz w:val="24"/>
          <w:szCs w:val="24"/>
        </w:rPr>
        <w:t>a</w:t>
      </w:r>
      <w:r w:rsidR="001F225C" w:rsidRPr="001F225C">
        <w:rPr>
          <w:rFonts w:ascii="Calibri" w:hAnsi="Calibri" w:cs="Calibri"/>
          <w:bCs/>
          <w:sz w:val="24"/>
          <w:szCs w:val="24"/>
        </w:rPr>
        <w:t xml:space="preserve">ssistenciais. </w:t>
      </w:r>
      <w:r w:rsidR="001F225C">
        <w:rPr>
          <w:rFonts w:ascii="Calibri" w:hAnsi="Calibri" w:cs="Calibri"/>
          <w:bCs/>
          <w:sz w:val="24"/>
          <w:szCs w:val="24"/>
        </w:rPr>
        <w:t>Em específico, o</w:t>
      </w:r>
      <w:r w:rsidR="001F225C" w:rsidRPr="001F225C">
        <w:rPr>
          <w:rFonts w:ascii="Calibri" w:hAnsi="Calibri" w:cs="Calibri"/>
          <w:bCs/>
          <w:sz w:val="24"/>
          <w:szCs w:val="24"/>
        </w:rPr>
        <w:t>s recursos que reforçam as dotações especificadas são aqueles oriundos de excesso de arrecadação, tanto do Tesouro</w:t>
      </w:r>
      <w:r w:rsidR="001F225C">
        <w:rPr>
          <w:rFonts w:ascii="Calibri" w:hAnsi="Calibri" w:cs="Calibri"/>
          <w:bCs/>
          <w:sz w:val="24"/>
          <w:szCs w:val="24"/>
        </w:rPr>
        <w:t xml:space="preserve"> Municipal</w:t>
      </w:r>
      <w:r w:rsidR="001F225C" w:rsidRPr="001F225C">
        <w:rPr>
          <w:rFonts w:ascii="Calibri" w:hAnsi="Calibri" w:cs="Calibri"/>
          <w:bCs/>
          <w:sz w:val="24"/>
          <w:szCs w:val="24"/>
        </w:rPr>
        <w:t>, como de repasses Federais do Fundo Nacional de Saúde para o Fundo Municipal de Saúde.</w:t>
      </w:r>
    </w:p>
    <w:p w:rsidR="001F225C" w:rsidRPr="001F225C" w:rsidRDefault="001F225C" w:rsidP="001F225C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Por meio do c</w:t>
      </w:r>
      <w:r w:rsidRPr="001F225C">
        <w:rPr>
          <w:rFonts w:ascii="Calibri" w:hAnsi="Calibri" w:cs="Calibri"/>
          <w:bCs/>
          <w:sz w:val="24"/>
          <w:szCs w:val="24"/>
        </w:rPr>
        <w:t xml:space="preserve">rédito </w:t>
      </w:r>
      <w:r>
        <w:rPr>
          <w:rFonts w:ascii="Calibri" w:hAnsi="Calibri" w:cs="Calibri"/>
          <w:bCs/>
          <w:sz w:val="24"/>
          <w:szCs w:val="24"/>
        </w:rPr>
        <w:t>a</w:t>
      </w:r>
      <w:r w:rsidRPr="001F225C">
        <w:rPr>
          <w:rFonts w:ascii="Calibri" w:hAnsi="Calibri" w:cs="Calibri"/>
          <w:bCs/>
          <w:sz w:val="24"/>
          <w:szCs w:val="24"/>
        </w:rPr>
        <w:t xml:space="preserve">dicional </w:t>
      </w:r>
      <w:r>
        <w:rPr>
          <w:rFonts w:ascii="Calibri" w:hAnsi="Calibri" w:cs="Calibri"/>
          <w:bCs/>
          <w:sz w:val="24"/>
          <w:szCs w:val="24"/>
        </w:rPr>
        <w:t>s</w:t>
      </w:r>
      <w:r w:rsidRPr="001F225C">
        <w:rPr>
          <w:rFonts w:ascii="Calibri" w:hAnsi="Calibri" w:cs="Calibri"/>
          <w:bCs/>
          <w:sz w:val="24"/>
          <w:szCs w:val="24"/>
        </w:rPr>
        <w:t>uplementar</w:t>
      </w:r>
      <w:r>
        <w:rPr>
          <w:rFonts w:ascii="Calibri" w:hAnsi="Calibri" w:cs="Calibri"/>
          <w:bCs/>
          <w:sz w:val="24"/>
          <w:szCs w:val="24"/>
        </w:rPr>
        <w:t xml:space="preserve"> ora proposto</w:t>
      </w:r>
      <w:r w:rsidRPr="001F225C">
        <w:rPr>
          <w:rFonts w:ascii="Calibri" w:hAnsi="Calibri" w:cs="Calibri"/>
          <w:bCs/>
          <w:sz w:val="24"/>
          <w:szCs w:val="24"/>
        </w:rPr>
        <w:t xml:space="preserve">, será possível realizar os repasses de recursos para a Santa Casa de Araraquara, </w:t>
      </w:r>
      <w:r>
        <w:rPr>
          <w:rFonts w:ascii="Calibri" w:hAnsi="Calibri" w:cs="Calibri"/>
          <w:bCs/>
          <w:sz w:val="24"/>
          <w:szCs w:val="24"/>
        </w:rPr>
        <w:t xml:space="preserve">a </w:t>
      </w:r>
      <w:r w:rsidRPr="001F225C">
        <w:rPr>
          <w:rFonts w:ascii="Calibri" w:hAnsi="Calibri" w:cs="Calibri"/>
          <w:bCs/>
          <w:sz w:val="24"/>
          <w:szCs w:val="24"/>
        </w:rPr>
        <w:t xml:space="preserve">Fundação Municipal Irene Siqueira Alves “Vovó Mocinha” – FUNGOTA, </w:t>
      </w:r>
      <w:r>
        <w:rPr>
          <w:rFonts w:ascii="Calibri" w:hAnsi="Calibri" w:cs="Calibri"/>
          <w:bCs/>
          <w:sz w:val="24"/>
          <w:szCs w:val="24"/>
        </w:rPr>
        <w:t xml:space="preserve">a </w:t>
      </w:r>
      <w:r w:rsidRPr="001F225C">
        <w:rPr>
          <w:rFonts w:ascii="Calibri" w:hAnsi="Calibri" w:cs="Calibri"/>
          <w:bCs/>
          <w:sz w:val="24"/>
          <w:szCs w:val="24"/>
        </w:rPr>
        <w:t xml:space="preserve">Casa Cairbar Schutel, </w:t>
      </w:r>
      <w:r>
        <w:rPr>
          <w:rFonts w:ascii="Calibri" w:hAnsi="Calibri" w:cs="Calibri"/>
          <w:bCs/>
          <w:sz w:val="24"/>
          <w:szCs w:val="24"/>
        </w:rPr>
        <w:t xml:space="preserve">o </w:t>
      </w:r>
      <w:r w:rsidRPr="001F225C">
        <w:rPr>
          <w:rFonts w:ascii="Calibri" w:hAnsi="Calibri" w:cs="Calibri"/>
          <w:bCs/>
          <w:sz w:val="24"/>
          <w:szCs w:val="24"/>
        </w:rPr>
        <w:t>Serviço de Terapia Renal Substitutiva – TRS (Diálise e Hemodiálise)</w:t>
      </w:r>
      <w:r>
        <w:rPr>
          <w:rFonts w:ascii="Calibri" w:hAnsi="Calibri" w:cs="Calibri"/>
          <w:bCs/>
          <w:sz w:val="24"/>
          <w:szCs w:val="24"/>
        </w:rPr>
        <w:t xml:space="preserve">, o </w:t>
      </w:r>
      <w:r w:rsidRPr="001F225C">
        <w:rPr>
          <w:rFonts w:ascii="Calibri" w:hAnsi="Calibri" w:cs="Calibri"/>
          <w:bCs/>
          <w:sz w:val="24"/>
          <w:szCs w:val="24"/>
        </w:rPr>
        <w:t>CRESEP – Hospital de Olhos</w:t>
      </w:r>
      <w:r>
        <w:rPr>
          <w:rFonts w:ascii="Calibri" w:hAnsi="Calibri" w:cs="Calibri"/>
          <w:bCs/>
          <w:sz w:val="24"/>
          <w:szCs w:val="24"/>
        </w:rPr>
        <w:t xml:space="preserve">, bem como para a realização de serviços </w:t>
      </w:r>
      <w:r w:rsidRPr="001F225C">
        <w:rPr>
          <w:rFonts w:ascii="Calibri" w:hAnsi="Calibri" w:cs="Calibri"/>
          <w:bCs/>
          <w:sz w:val="24"/>
          <w:szCs w:val="24"/>
        </w:rPr>
        <w:t>fisioterapia</w:t>
      </w:r>
      <w:r>
        <w:rPr>
          <w:rFonts w:ascii="Calibri" w:hAnsi="Calibri" w:cs="Calibri"/>
          <w:bCs/>
          <w:sz w:val="24"/>
          <w:szCs w:val="24"/>
        </w:rPr>
        <w:t>, de e</w:t>
      </w:r>
      <w:r w:rsidRPr="001F225C">
        <w:rPr>
          <w:rFonts w:ascii="Calibri" w:hAnsi="Calibri" w:cs="Calibri"/>
          <w:bCs/>
          <w:sz w:val="24"/>
          <w:szCs w:val="24"/>
        </w:rPr>
        <w:t>quoterapia</w:t>
      </w:r>
      <w:r>
        <w:rPr>
          <w:rFonts w:ascii="Calibri" w:hAnsi="Calibri" w:cs="Calibri"/>
          <w:bCs/>
          <w:sz w:val="24"/>
          <w:szCs w:val="24"/>
        </w:rPr>
        <w:t>, de e</w:t>
      </w:r>
      <w:r w:rsidRPr="001F225C">
        <w:rPr>
          <w:rFonts w:ascii="Calibri" w:hAnsi="Calibri" w:cs="Calibri"/>
          <w:bCs/>
          <w:sz w:val="24"/>
          <w:szCs w:val="24"/>
        </w:rPr>
        <w:t>xames laboratoriais e de imagem, entre tantos.</w:t>
      </w:r>
    </w:p>
    <w:p w:rsidR="00030341" w:rsidRPr="007776C4" w:rsidRDefault="001F225C" w:rsidP="001F225C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1F225C">
        <w:rPr>
          <w:rFonts w:ascii="Calibri" w:hAnsi="Calibri" w:cs="Calibri"/>
          <w:bCs/>
          <w:sz w:val="24"/>
          <w:szCs w:val="24"/>
        </w:rPr>
        <w:t>O excesso de arrecadação dar-se-á pelo levantamento da arrecadação prevista e efetivamente arrecada no presente e exercícios anteriores, cujos saldos ainda esteja</w:t>
      </w:r>
      <w:r>
        <w:rPr>
          <w:rFonts w:ascii="Calibri" w:hAnsi="Calibri" w:cs="Calibri"/>
          <w:bCs/>
          <w:sz w:val="24"/>
          <w:szCs w:val="24"/>
        </w:rPr>
        <w:t>m</w:t>
      </w:r>
      <w:r w:rsidRPr="001F225C">
        <w:rPr>
          <w:rFonts w:ascii="Calibri" w:hAnsi="Calibri" w:cs="Calibri"/>
          <w:bCs/>
          <w:sz w:val="24"/>
          <w:szCs w:val="24"/>
        </w:rPr>
        <w:t xml:space="preserve"> disponíveis para suportar o crédito ora solicitado.</w:t>
      </w:r>
      <w:r w:rsidR="007776C4" w:rsidRPr="007776C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B595F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lastRenderedPageBreak/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Dispõe sobre a abertura de c</w:t>
      </w:r>
      <w:r w:rsidR="00C77671" w:rsidRPr="0076125C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="00C77671" w:rsidRPr="0076125C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="00C77671">
        <w:rPr>
          <w:rFonts w:ascii="Calibri" w:hAnsi="Calibri" w:cs="Calibri"/>
          <w:sz w:val="24"/>
          <w:szCs w:val="24"/>
        </w:rPr>
        <w:t xml:space="preserve">uplementar </w:t>
      </w:r>
      <w:r w:rsidR="00C77671"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5153B7" w:rsidRDefault="005153B7" w:rsidP="005153B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Pr="00842071">
        <w:rPr>
          <w:rFonts w:ascii="Calibri" w:hAnsi="Calibri" w:cs="Calibri"/>
          <w:sz w:val="24"/>
          <w:szCs w:val="24"/>
        </w:rPr>
        <w:t xml:space="preserve">Fica </w:t>
      </w:r>
      <w:r>
        <w:rPr>
          <w:rFonts w:ascii="Calibri" w:hAnsi="Calibri" w:cs="Calibri"/>
          <w:sz w:val="24"/>
          <w:szCs w:val="24"/>
        </w:rPr>
        <w:t>o Poder Executivo autorizado a abrir um c</w:t>
      </w:r>
      <w:r w:rsidRPr="00842071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842071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Pr="00842071">
        <w:rPr>
          <w:rFonts w:ascii="Calibri" w:hAnsi="Calibri" w:cs="Calibri"/>
          <w:sz w:val="24"/>
          <w:szCs w:val="24"/>
        </w:rPr>
        <w:t>uplementar</w:t>
      </w:r>
      <w:r w:rsidRPr="005B595F">
        <w:rPr>
          <w:rFonts w:ascii="Calibri" w:hAnsi="Calibri" w:cs="Calibri"/>
          <w:sz w:val="24"/>
          <w:szCs w:val="24"/>
        </w:rPr>
        <w:t xml:space="preserve">, </w:t>
      </w:r>
      <w:r w:rsidRPr="00030341">
        <w:rPr>
          <w:rFonts w:ascii="Calibri" w:hAnsi="Calibri" w:cs="Calibri"/>
          <w:sz w:val="24"/>
          <w:szCs w:val="24"/>
        </w:rPr>
        <w:t>até o limite de R$ 18.311.000,00 (</w:t>
      </w:r>
      <w:r>
        <w:rPr>
          <w:rFonts w:ascii="Calibri" w:hAnsi="Calibri" w:cs="Calibri"/>
          <w:sz w:val="24"/>
          <w:szCs w:val="24"/>
        </w:rPr>
        <w:t>d</w:t>
      </w:r>
      <w:r w:rsidRPr="00030341">
        <w:rPr>
          <w:rFonts w:ascii="Calibri" w:hAnsi="Calibri" w:cs="Calibri"/>
          <w:sz w:val="24"/>
          <w:szCs w:val="24"/>
        </w:rPr>
        <w:t>ezoito milhões, trezentos e onze mil reais), para atender a manutenção dos serviços hospitalares e ambulatoriais, conforme demonstrativo abaixo</w:t>
      </w:r>
      <w:r w:rsidRPr="0078500B">
        <w:rPr>
          <w:rFonts w:ascii="Calibri" w:hAnsi="Calibri"/>
          <w:sz w:val="24"/>
          <w:szCs w:val="24"/>
        </w:rPr>
        <w:t>: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4885"/>
        <w:gridCol w:w="425"/>
        <w:gridCol w:w="1558"/>
      </w:tblGrid>
      <w:tr w:rsidR="005153B7" w:rsidTr="005153B7">
        <w:trPr>
          <w:trHeight w:val="2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5153B7" w:rsidTr="005153B7">
        <w:trPr>
          <w:trHeight w:val="2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5153B7" w:rsidTr="005153B7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5153B7" w:rsidTr="005153B7">
        <w:trPr>
          <w:cantSplit/>
          <w:trHeight w:val="267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153B7" w:rsidTr="005153B7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153B7" w:rsidTr="005153B7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10.302.0077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10.302.0077.0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10.302.0077.0.009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5153B7" w:rsidTr="005153B7">
        <w:trPr>
          <w:cantSplit/>
          <w:trHeight w:val="2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5153B7" w:rsidTr="005153B7">
        <w:trPr>
          <w:trHeight w:val="27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153B7" w:rsidTr="005153B7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153B7" w:rsidTr="005153B7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153B7" w:rsidTr="005153B7">
        <w:trPr>
          <w:cantSplit/>
          <w:trHeight w:val="29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13.669.000,00</w:t>
            </w:r>
          </w:p>
        </w:tc>
      </w:tr>
      <w:tr w:rsidR="005153B7" w:rsidTr="005153B7">
        <w:trPr>
          <w:cantSplit/>
          <w:trHeight w:val="2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4.666.000,00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5.684.000,00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116.000,00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3.203.000,00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7" w:rsidRDefault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5153B7" w:rsidTr="00D23AB2">
        <w:trPr>
          <w:cantSplit/>
          <w:trHeight w:val="267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153B7" w:rsidTr="005153B7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153B7" w:rsidTr="005153B7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4.382.000,00</w:t>
            </w:r>
          </w:p>
        </w:tc>
      </w:tr>
      <w:tr w:rsidR="005153B7" w:rsidTr="005153B7">
        <w:trPr>
          <w:cantSplit/>
          <w:trHeight w:val="2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3.852.000,00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5153B7" w:rsidTr="005153B7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460.000,00</w:t>
            </w:r>
          </w:p>
        </w:tc>
      </w:tr>
      <w:tr w:rsidR="005153B7" w:rsidTr="005153B7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7" w:rsidRDefault="005153B7" w:rsidP="005153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5153B7" w:rsidRPr="005153B7" w:rsidRDefault="005153B7" w:rsidP="005153B7">
      <w:pPr>
        <w:tabs>
          <w:tab w:val="left" w:pos="2835"/>
        </w:tabs>
        <w:jc w:val="both"/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030341" w:rsidRPr="00030341">
        <w:rPr>
          <w:rFonts w:ascii="Calibri" w:hAnsi="Calibri" w:cs="Calibri"/>
          <w:sz w:val="24"/>
          <w:szCs w:val="24"/>
        </w:rPr>
        <w:t xml:space="preserve">será coberto </w:t>
      </w:r>
      <w:r w:rsidR="00030341">
        <w:rPr>
          <w:rFonts w:ascii="Calibri" w:hAnsi="Calibri" w:cs="Calibri"/>
          <w:sz w:val="24"/>
          <w:szCs w:val="24"/>
        </w:rPr>
        <w:t xml:space="preserve">por meio </w:t>
      </w:r>
      <w:r w:rsidR="00030341" w:rsidRPr="00030341">
        <w:rPr>
          <w:rFonts w:ascii="Calibri" w:hAnsi="Calibri" w:cs="Calibri"/>
          <w:sz w:val="24"/>
          <w:szCs w:val="24"/>
        </w:rPr>
        <w:t xml:space="preserve">do excesso de arrecadação do Tesouro </w:t>
      </w:r>
      <w:r w:rsidR="00030341">
        <w:rPr>
          <w:rFonts w:ascii="Calibri" w:hAnsi="Calibri" w:cs="Calibri"/>
          <w:sz w:val="24"/>
          <w:szCs w:val="24"/>
        </w:rPr>
        <w:t xml:space="preserve">Municipal </w:t>
      </w:r>
      <w:r w:rsidR="00030341" w:rsidRPr="00030341">
        <w:rPr>
          <w:rFonts w:ascii="Calibri" w:hAnsi="Calibri" w:cs="Calibri"/>
          <w:sz w:val="24"/>
          <w:szCs w:val="24"/>
        </w:rPr>
        <w:t xml:space="preserve">e de receitas vinculadas a </w:t>
      </w:r>
      <w:r w:rsidR="00030341">
        <w:rPr>
          <w:rFonts w:ascii="Calibri" w:hAnsi="Calibri" w:cs="Calibri"/>
          <w:sz w:val="24"/>
          <w:szCs w:val="24"/>
        </w:rPr>
        <w:t>S</w:t>
      </w:r>
      <w:r w:rsidR="00030341" w:rsidRPr="00030341">
        <w:rPr>
          <w:rFonts w:ascii="Calibri" w:hAnsi="Calibri" w:cs="Calibri"/>
          <w:sz w:val="24"/>
          <w:szCs w:val="24"/>
        </w:rPr>
        <w:t xml:space="preserve">aúde </w:t>
      </w:r>
      <w:r w:rsidR="00030341">
        <w:rPr>
          <w:rFonts w:ascii="Calibri" w:hAnsi="Calibri" w:cs="Calibri"/>
          <w:sz w:val="24"/>
          <w:szCs w:val="24"/>
        </w:rPr>
        <w:t xml:space="preserve">– </w:t>
      </w:r>
      <w:r w:rsidR="00030341" w:rsidRPr="00030341">
        <w:rPr>
          <w:rFonts w:ascii="Calibri" w:hAnsi="Calibri" w:cs="Calibri"/>
          <w:sz w:val="24"/>
          <w:szCs w:val="24"/>
        </w:rPr>
        <w:t>recursos transferidos do Fundo Nacional de Saúde ao F</w:t>
      </w:r>
      <w:r w:rsidR="00030341">
        <w:rPr>
          <w:rFonts w:ascii="Calibri" w:hAnsi="Calibri" w:cs="Calibri"/>
          <w:sz w:val="24"/>
          <w:szCs w:val="24"/>
        </w:rPr>
        <w:t xml:space="preserve">undo Municipal de Saúde – </w:t>
      </w:r>
      <w:r w:rsidR="00030341" w:rsidRPr="00030341">
        <w:rPr>
          <w:rFonts w:ascii="Calibri" w:hAnsi="Calibri" w:cs="Calibri"/>
          <w:sz w:val="24"/>
          <w:szCs w:val="24"/>
        </w:rPr>
        <w:t>referentes ao bloco de custeio, conforme disposto no inciso II</w:t>
      </w:r>
      <w:r w:rsidR="00030341">
        <w:rPr>
          <w:rFonts w:ascii="Calibri" w:hAnsi="Calibri" w:cs="Calibri"/>
          <w:sz w:val="24"/>
          <w:szCs w:val="24"/>
        </w:rPr>
        <w:t xml:space="preserve"> do</w:t>
      </w:r>
      <w:r w:rsidR="00030341" w:rsidRPr="00030341">
        <w:rPr>
          <w:rFonts w:ascii="Calibri" w:hAnsi="Calibri" w:cs="Calibri"/>
          <w:sz w:val="24"/>
          <w:szCs w:val="24"/>
        </w:rPr>
        <w:t xml:space="preserve"> § 3º do </w:t>
      </w:r>
      <w:r w:rsidR="00030341">
        <w:rPr>
          <w:rFonts w:ascii="Calibri" w:hAnsi="Calibri" w:cs="Calibri"/>
          <w:sz w:val="24"/>
          <w:szCs w:val="24"/>
        </w:rPr>
        <w:t xml:space="preserve">art. </w:t>
      </w:r>
      <w:r w:rsidR="00030341" w:rsidRPr="00030341">
        <w:rPr>
          <w:rFonts w:ascii="Calibri" w:hAnsi="Calibri" w:cs="Calibri"/>
          <w:sz w:val="24"/>
          <w:szCs w:val="24"/>
        </w:rPr>
        <w:t xml:space="preserve">43, da Lei Federal </w:t>
      </w:r>
      <w:r w:rsidR="00030341">
        <w:rPr>
          <w:rFonts w:ascii="Calibri" w:hAnsi="Calibri" w:cs="Calibri"/>
          <w:sz w:val="24"/>
          <w:szCs w:val="24"/>
        </w:rPr>
        <w:t xml:space="preserve">nº </w:t>
      </w:r>
      <w:r w:rsidR="00030341" w:rsidRPr="00030341">
        <w:rPr>
          <w:rFonts w:ascii="Calibri" w:hAnsi="Calibri" w:cs="Calibri"/>
          <w:sz w:val="24"/>
          <w:szCs w:val="24"/>
        </w:rPr>
        <w:t>4.320</w:t>
      </w:r>
      <w:r w:rsidR="00030341">
        <w:rPr>
          <w:rFonts w:ascii="Calibri" w:hAnsi="Calibri" w:cs="Calibri"/>
          <w:sz w:val="24"/>
          <w:szCs w:val="24"/>
        </w:rPr>
        <w:t>, de 17 de março de 19</w:t>
      </w:r>
      <w:r w:rsidR="00030341" w:rsidRPr="00030341">
        <w:rPr>
          <w:rFonts w:ascii="Calibri" w:hAnsi="Calibri" w:cs="Calibri"/>
          <w:sz w:val="24"/>
          <w:szCs w:val="24"/>
        </w:rPr>
        <w:t>64, apurado no presente exercício</w:t>
      </w:r>
      <w:r w:rsidR="00030341">
        <w:rPr>
          <w:rFonts w:ascii="Calibri" w:hAnsi="Calibri" w:cs="Calibri"/>
          <w:sz w:val="24"/>
          <w:szCs w:val="24"/>
        </w:rPr>
        <w:t>.</w:t>
      </w:r>
    </w:p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>
        <w:rPr>
          <w:rFonts w:ascii="Calibri" w:hAnsi="Calibri" w:cs="Calibri"/>
          <w:sz w:val="24"/>
          <w:szCs w:val="24"/>
        </w:rPr>
        <w:t>Fica incluso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Pr="0076125C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067396">
        <w:rPr>
          <w:rFonts w:ascii="Calibri" w:hAnsi="Calibri"/>
          <w:sz w:val="24"/>
          <w:szCs w:val="24"/>
        </w:rPr>
        <w:t>0</w:t>
      </w:r>
      <w:r w:rsidR="0003034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(</w:t>
      </w:r>
      <w:r w:rsidR="00030341">
        <w:rPr>
          <w:rFonts w:ascii="Calibri" w:hAnsi="Calibri"/>
          <w:sz w:val="24"/>
          <w:szCs w:val="24"/>
        </w:rPr>
        <w:t>cinco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030341">
        <w:rPr>
          <w:rFonts w:ascii="Calibri" w:hAnsi="Calibri"/>
          <w:sz w:val="24"/>
          <w:szCs w:val="24"/>
        </w:rPr>
        <w:t xml:space="preserve">dezembro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5153B7">
      <w:headerReference w:type="default" r:id="rId8"/>
      <w:footerReference w:type="default" r:id="rId9"/>
      <w:pgSz w:w="11906" w:h="16838"/>
      <w:pgMar w:top="992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B1" w:rsidRDefault="008C0CB1" w:rsidP="008166A0">
      <w:r>
        <w:separator/>
      </w:r>
    </w:p>
  </w:endnote>
  <w:endnote w:type="continuationSeparator" w:id="0">
    <w:p w:rsidR="008C0CB1" w:rsidRDefault="008C0CB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Pr="00E42A39" w:rsidRDefault="002C2B2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F590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F590C" w:rsidRPr="00E42A39">
      <w:rPr>
        <w:rFonts w:ascii="Calibri" w:hAnsi="Calibri"/>
        <w:b/>
        <w:bCs/>
        <w:sz w:val="24"/>
        <w:szCs w:val="24"/>
      </w:rPr>
      <w:fldChar w:fldCharType="separate"/>
    </w:r>
    <w:r w:rsidR="00914684">
      <w:rPr>
        <w:rFonts w:ascii="Calibri" w:hAnsi="Calibri"/>
        <w:b/>
        <w:bCs/>
        <w:noProof/>
      </w:rPr>
      <w:t>4</w:t>
    </w:r>
    <w:r w:rsidR="00CF590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F590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F590C" w:rsidRPr="00E42A39">
      <w:rPr>
        <w:rFonts w:ascii="Calibri" w:hAnsi="Calibri"/>
        <w:b/>
        <w:bCs/>
        <w:sz w:val="24"/>
        <w:szCs w:val="24"/>
      </w:rPr>
      <w:fldChar w:fldCharType="separate"/>
    </w:r>
    <w:r w:rsidR="00914684">
      <w:rPr>
        <w:rFonts w:ascii="Calibri" w:hAnsi="Calibri"/>
        <w:b/>
        <w:bCs/>
        <w:noProof/>
      </w:rPr>
      <w:t>4</w:t>
    </w:r>
    <w:r w:rsidR="00CF590C" w:rsidRPr="00E42A39">
      <w:rPr>
        <w:rFonts w:ascii="Calibri" w:hAnsi="Calibri"/>
        <w:b/>
        <w:bCs/>
        <w:sz w:val="24"/>
        <w:szCs w:val="24"/>
      </w:rPr>
      <w:fldChar w:fldCharType="end"/>
    </w:r>
  </w:p>
  <w:p w:rsidR="002C2B2F" w:rsidRDefault="002C2B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B1" w:rsidRDefault="008C0CB1" w:rsidP="008166A0">
      <w:r>
        <w:separator/>
      </w:r>
    </w:p>
  </w:footnote>
  <w:footnote w:type="continuationSeparator" w:id="0">
    <w:p w:rsidR="008C0CB1" w:rsidRDefault="008C0CB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Default="002C2B2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Pr="00BE4DA8" w:rsidRDefault="002C2B2F" w:rsidP="00857790">
    <w:pPr>
      <w:pStyle w:val="Legenda"/>
      <w:rPr>
        <w:sz w:val="12"/>
        <w:szCs w:val="24"/>
      </w:rPr>
    </w:pPr>
  </w:p>
  <w:p w:rsidR="002C2B2F" w:rsidRPr="00857790" w:rsidRDefault="002C2B2F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341"/>
    <w:rsid w:val="00030E70"/>
    <w:rsid w:val="00035E47"/>
    <w:rsid w:val="00036C95"/>
    <w:rsid w:val="0004096F"/>
    <w:rsid w:val="00043D87"/>
    <w:rsid w:val="0004407A"/>
    <w:rsid w:val="00063F0C"/>
    <w:rsid w:val="00066693"/>
    <w:rsid w:val="00067396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C6E29"/>
    <w:rsid w:val="000D1D73"/>
    <w:rsid w:val="000D4433"/>
    <w:rsid w:val="000D4A83"/>
    <w:rsid w:val="000D52F4"/>
    <w:rsid w:val="000D59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A4BEF"/>
    <w:rsid w:val="001B153C"/>
    <w:rsid w:val="001B51E3"/>
    <w:rsid w:val="001B55C6"/>
    <w:rsid w:val="001B7AB3"/>
    <w:rsid w:val="001C1317"/>
    <w:rsid w:val="001E1A55"/>
    <w:rsid w:val="001E3046"/>
    <w:rsid w:val="001E550E"/>
    <w:rsid w:val="001F225C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4E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76A81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C2B2F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153B7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0DA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6C4"/>
    <w:rsid w:val="00777B49"/>
    <w:rsid w:val="0078500B"/>
    <w:rsid w:val="007941C9"/>
    <w:rsid w:val="007945CE"/>
    <w:rsid w:val="007A0622"/>
    <w:rsid w:val="007A0F06"/>
    <w:rsid w:val="007A491E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0CB1"/>
    <w:rsid w:val="008C644A"/>
    <w:rsid w:val="008D222F"/>
    <w:rsid w:val="008E4DFD"/>
    <w:rsid w:val="00904CAD"/>
    <w:rsid w:val="00906B50"/>
    <w:rsid w:val="00910C70"/>
    <w:rsid w:val="009110E0"/>
    <w:rsid w:val="00913D56"/>
    <w:rsid w:val="00914684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95D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3FA4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CF590C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A4DA6"/>
    <w:rsid w:val="00DB15C4"/>
    <w:rsid w:val="00DB340D"/>
    <w:rsid w:val="00DB5CF1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2233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55E3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C1690D-1001-477A-9D4E-CF160CA1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5A9A9-0CF5-430D-8271-2F307054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2019-12-05T18:24:00Z</cp:lastPrinted>
  <dcterms:created xsi:type="dcterms:W3CDTF">2019-12-05T20:13:00Z</dcterms:created>
  <dcterms:modified xsi:type="dcterms:W3CDTF">2019-12-05T20:13:00Z</dcterms:modified>
</cp:coreProperties>
</file>