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F87C1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a Política Municipal de Trabalho para Pessoas Privadas de Liberdade e Egressas do Sistema Prisional,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87C1E" w:rsidRDefault="00F87C1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87C1E" w:rsidRPr="001B5DD7" w:rsidRDefault="00F87C1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F87C1E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BD" w:rsidRDefault="00C202BD" w:rsidP="00126850">
      <w:pPr>
        <w:spacing w:line="240" w:lineRule="auto"/>
      </w:pPr>
      <w:r>
        <w:separator/>
      </w:r>
    </w:p>
  </w:endnote>
  <w:endnote w:type="continuationSeparator" w:id="0">
    <w:p w:rsidR="00C202BD" w:rsidRDefault="00C202B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87C1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87C1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BD" w:rsidRDefault="00C202BD" w:rsidP="00126850">
      <w:pPr>
        <w:spacing w:line="240" w:lineRule="auto"/>
      </w:pPr>
      <w:r>
        <w:separator/>
      </w:r>
    </w:p>
  </w:footnote>
  <w:footnote w:type="continuationSeparator" w:id="0">
    <w:p w:rsidR="00C202BD" w:rsidRDefault="00C202B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2B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87C1E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00F2-234B-40AB-9A3F-2A8B91DA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2019-11-29T11:38:00Z</dcterms:modified>
</cp:coreProperties>
</file>