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F27F15">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504/2019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400/2019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R$ 33.612.663,17 (trinta e três milhões, seiscentos e doze mil, seiscentos e sessenta e três reais e dezessete centavos), para atender despesas com (1) folhas de pagamentos relativas ao mês de novembro de 2019 e décimo terceiro salário; (2) encargos especiais e (3) Programa de Iluminação de Vias Públicas,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27F15">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FF5" w:rsidRDefault="00023FF5" w:rsidP="00126850">
      <w:pPr>
        <w:spacing w:line="240" w:lineRule="auto"/>
      </w:pPr>
      <w:r>
        <w:separator/>
      </w:r>
    </w:p>
  </w:endnote>
  <w:endnote w:type="continuationSeparator" w:id="0">
    <w:p w:rsidR="00023FF5" w:rsidRDefault="00023FF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27F1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27F1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FF5" w:rsidRDefault="00023FF5" w:rsidP="00126850">
      <w:pPr>
        <w:spacing w:line="240" w:lineRule="auto"/>
      </w:pPr>
      <w:r>
        <w:separator/>
      </w:r>
    </w:p>
  </w:footnote>
  <w:footnote w:type="continuationSeparator" w:id="0">
    <w:p w:rsidR="00023FF5" w:rsidRDefault="00023FF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3FF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27F15"/>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0C54-13F1-4E8B-9998-27167889D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1133</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2019-11-26T14:39:00Z</dcterms:modified>
</cp:coreProperties>
</file>