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76614A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R$ 33.612.663,17 (trinta e três milhões, seiscentos e doze mil, seiscentos e sessenta e três reais e dezessete centavos), para atender despesas com (1) folhas de pagamentos relativas ao mês de novembro de 2019 e décimo terceiro salário; (2) encargos especiais e (3) Programa de Iluminação de Vias Públicas,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6614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13E" w:rsidRDefault="00EF013E" w:rsidP="00126850">
      <w:pPr>
        <w:spacing w:line="240" w:lineRule="auto"/>
      </w:pPr>
      <w:r>
        <w:separator/>
      </w:r>
    </w:p>
  </w:endnote>
  <w:endnote w:type="continuationSeparator" w:id="0">
    <w:p w:rsidR="00EF013E" w:rsidRDefault="00EF01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1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1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13E" w:rsidRDefault="00EF013E" w:rsidP="00126850">
      <w:pPr>
        <w:spacing w:line="240" w:lineRule="auto"/>
      </w:pPr>
      <w:r>
        <w:separator/>
      </w:r>
    </w:p>
  </w:footnote>
  <w:footnote w:type="continuationSeparator" w:id="0">
    <w:p w:rsidR="00EF013E" w:rsidRDefault="00EF01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614A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013E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3E7FB-320B-40F9-9BDB-FE71436C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2019-11-26T14:38:00Z</dcterms:modified>
</cp:coreProperties>
</file>