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8.896, de 16 de março de 2017 (Cria o Comitê Municipal de Gestão Democrática), de modo a prever que o Chefe do Poder Executivo indicará os membros do órgão representado no Comitê quando não houver candidatos suficientes inscritos para concorrerem à eleição.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88" w:rsidRDefault="00413988" w:rsidP="00126850">
      <w:pPr>
        <w:spacing w:line="240" w:lineRule="auto"/>
      </w:pPr>
      <w:r>
        <w:separator/>
      </w:r>
    </w:p>
  </w:endnote>
  <w:endnote w:type="continuationSeparator" w:id="0">
    <w:p w:rsidR="00413988" w:rsidRDefault="0041398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A13B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A13B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88" w:rsidRDefault="00413988" w:rsidP="00126850">
      <w:pPr>
        <w:spacing w:line="240" w:lineRule="auto"/>
      </w:pPr>
      <w:r>
        <w:separator/>
      </w:r>
    </w:p>
  </w:footnote>
  <w:footnote w:type="continuationSeparator" w:id="0">
    <w:p w:rsidR="00413988" w:rsidRDefault="0041398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13B7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13988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72AC-3B8E-4D67-B9D5-234EBD79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2019-10-10T19:24:00Z</dcterms:modified>
</cp:coreProperties>
</file>