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422/2019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333/2019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6.251, de 19 de abril de 2005 (Dispõe sobre o Plano de Carreiras, Cargos e Vencimentos da Prefeitura do Município de Araraquara), criando hipótese de licença para aperfeiçoamento a ser realizado no exterior e ampliando a quantidade de vagas para o emprego público de arquiteto, e dá outra providência.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CC0" w:rsidRDefault="00A56CC0" w:rsidP="00126850">
      <w:pPr>
        <w:spacing w:line="240" w:lineRule="auto"/>
      </w:pPr>
      <w:r>
        <w:separator/>
      </w:r>
    </w:p>
  </w:endnote>
  <w:endnote w:type="continuationSeparator" w:id="0">
    <w:p w:rsidR="00A56CC0" w:rsidRDefault="00A56CC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E7B2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E7B2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CC0" w:rsidRDefault="00A56CC0" w:rsidP="00126850">
      <w:pPr>
        <w:spacing w:line="240" w:lineRule="auto"/>
      </w:pPr>
      <w:r>
        <w:separator/>
      </w:r>
    </w:p>
  </w:footnote>
  <w:footnote w:type="continuationSeparator" w:id="0">
    <w:p w:rsidR="00A56CC0" w:rsidRDefault="00A56CC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56CC0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E7B22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50E7E-3644-4F04-970F-5AE0B5FE9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2019-10-04T11:42:00Z</dcterms:modified>
</cp:coreProperties>
</file>