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41B0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41B0A">
        <w:rPr>
          <w:rFonts w:ascii="Tahoma" w:hAnsi="Tahoma" w:cs="Tahoma"/>
          <w:b/>
          <w:sz w:val="32"/>
          <w:szCs w:val="32"/>
          <w:u w:val="single"/>
        </w:rPr>
        <w:t>299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1B0A">
        <w:rPr>
          <w:rFonts w:ascii="Tahoma" w:hAnsi="Tahoma" w:cs="Tahoma"/>
          <w:b/>
          <w:sz w:val="32"/>
          <w:szCs w:val="32"/>
          <w:u w:val="single"/>
        </w:rPr>
        <w:t>304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41B0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41B0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41B0A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s</w:t>
      </w:r>
      <w:r w:rsidRPr="00941B0A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41B0A" w:rsidRP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1B0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1B0A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>xecutivo autorizado a abrir um crédito a</w:t>
      </w:r>
      <w:r w:rsidRPr="00941B0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41B0A">
        <w:rPr>
          <w:rFonts w:ascii="Calibri" w:hAnsi="Calibri" w:cs="Calibri"/>
          <w:sz w:val="24"/>
          <w:szCs w:val="22"/>
        </w:rPr>
        <w:t>uplementar, até o limite de R$ 124.000,00 (cento e vinte e quatro mil reais), para atender despesas com a contratação de empresa especializada para execução das obras de ampliação e adequação às normas vigentes de sis</w:t>
      </w:r>
      <w:r>
        <w:rPr>
          <w:rFonts w:ascii="Calibri" w:hAnsi="Calibri" w:cs="Calibri"/>
          <w:sz w:val="24"/>
          <w:szCs w:val="22"/>
        </w:rPr>
        <w:t>tema de combate ao incêndio do t</w:t>
      </w:r>
      <w:r w:rsidRPr="00941B0A">
        <w:rPr>
          <w:rFonts w:ascii="Calibri" w:hAnsi="Calibri" w:cs="Calibri"/>
          <w:sz w:val="24"/>
          <w:szCs w:val="22"/>
        </w:rPr>
        <w:t xml:space="preserve">eatro </w:t>
      </w:r>
      <w:r>
        <w:rPr>
          <w:rFonts w:ascii="Calibri" w:hAnsi="Calibri" w:cs="Calibri"/>
          <w:sz w:val="24"/>
          <w:szCs w:val="22"/>
        </w:rPr>
        <w:t>m</w:t>
      </w:r>
      <w:r w:rsidRPr="00941B0A">
        <w:rPr>
          <w:rFonts w:ascii="Calibri" w:hAnsi="Calibri" w:cs="Calibri"/>
          <w:sz w:val="24"/>
          <w:szCs w:val="22"/>
        </w:rPr>
        <w:t>unicipal, conforme demonstrativo abaixo:</w:t>
      </w:r>
    </w:p>
    <w:p w:rsid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4442"/>
        <w:gridCol w:w="2091"/>
      </w:tblGrid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13.392.013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GESTÃO E A CESSO A CULTURA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13.392.013.1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13.392.013.1.010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REFORMAS E ADEQUAÇÕES DO TEATRO MUNICIPAL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124.000,00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41B0A" w:rsidRP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1B0A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1B0A">
        <w:rPr>
          <w:rFonts w:ascii="Calibri" w:hAnsi="Calibri" w:cs="Calibri"/>
          <w:sz w:val="24"/>
          <w:szCs w:val="22"/>
        </w:rPr>
        <w:t>O crédito autorizado no artigo 1º desta lei será coberto com recursos orçamentários provenientes de anulação parcial das dotações abaixo vigentes e especificadas:</w:t>
      </w:r>
    </w:p>
    <w:p w:rsid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4442"/>
        <w:gridCol w:w="2055"/>
      </w:tblGrid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OBRAS PÚBLICAS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15.451.067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EDÍFICIOS PÚBLICOS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15.451.067.1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15.451.067.1.035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44.000,00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44.000,00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15.452.070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15.452.070.1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15.452.070.1.036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45.600,00 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45.600,00 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PATRIMÔNIO HISTÓRICO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PATRIMÔNIO, HISTÓRICO, ARTISTICO E ARQUEOLÓGICO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13.391.014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PRESERVAÇÃO DO PATRIMONIO HISTÓRICO E CULTURAL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13.391.014.1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13.391.014.1.021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REFORMA E ADEQUAÇÃO DO ARQUIVO HISTÓRICO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34.400,00 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9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B0A" w:rsidRPr="00941B0A" w:rsidRDefault="00941B0A" w:rsidP="00DE7C0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 xml:space="preserve"> R$      34.400,00 </w:t>
            </w:r>
          </w:p>
        </w:tc>
      </w:tr>
      <w:tr w:rsidR="00941B0A" w:rsidRPr="00941B0A" w:rsidTr="00DE7C0F">
        <w:trPr>
          <w:trHeight w:val="315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1B0A" w:rsidRPr="00941B0A" w:rsidRDefault="00941B0A" w:rsidP="00DE7C0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41B0A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41B0A" w:rsidRP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1B0A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1B0A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941B0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41B0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41B0A">
        <w:rPr>
          <w:rFonts w:ascii="Calibri" w:hAnsi="Calibri" w:cs="Calibri"/>
          <w:sz w:val="24"/>
          <w:szCs w:val="22"/>
        </w:rPr>
        <w:t>uplementar na Lei nº 9.138, de 29 de novembro de 2017 (Plano Plurianu</w:t>
      </w:r>
      <w:bookmarkStart w:id="0" w:name="_GoBack"/>
      <w:bookmarkEnd w:id="0"/>
      <w:r w:rsidRPr="00941B0A">
        <w:rPr>
          <w:rFonts w:ascii="Calibri" w:hAnsi="Calibri" w:cs="Calibri"/>
          <w:sz w:val="24"/>
          <w:szCs w:val="22"/>
        </w:rPr>
        <w:t>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41B0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41B0A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41B0A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41B0A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41B0A" w:rsidRPr="00646520" w:rsidRDefault="00941B0A" w:rsidP="00941B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41B0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1B0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41B0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1B0A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178</cp:revision>
  <cp:lastPrinted>2018-06-26T22:41:00Z</cp:lastPrinted>
  <dcterms:created xsi:type="dcterms:W3CDTF">2016-08-16T19:55:00Z</dcterms:created>
  <dcterms:modified xsi:type="dcterms:W3CDTF">2019-09-16T20:53:00Z</dcterms:modified>
</cp:coreProperties>
</file>