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os procedimentos a serem adotados, no âmbito da gestão municipal do Sistema Único de Saúde, na prescrição e na dispensação de medicamentos, exames e de procedimentos de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10" w:rsidRDefault="000D0510" w:rsidP="00126850">
      <w:pPr>
        <w:spacing w:line="240" w:lineRule="auto"/>
      </w:pPr>
      <w:r>
        <w:separator/>
      </w:r>
    </w:p>
  </w:endnote>
  <w:endnote w:type="continuationSeparator" w:id="0">
    <w:p w:rsidR="000D0510" w:rsidRDefault="000D051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E76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E76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10" w:rsidRDefault="000D0510" w:rsidP="00126850">
      <w:pPr>
        <w:spacing w:line="240" w:lineRule="auto"/>
      </w:pPr>
      <w:r>
        <w:separator/>
      </w:r>
    </w:p>
  </w:footnote>
  <w:footnote w:type="continuationSeparator" w:id="0">
    <w:p w:rsidR="000D0510" w:rsidRDefault="000D051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0510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E767A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A08F-8129-4227-91FD-441EAB10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2019-09-05T23:42:00Z</dcterms:modified>
</cp:coreProperties>
</file>