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R$ 688.703,55 (seiscentos e oitenta e oito mil, setecentos e três reais e cinquenta e cinco centavos), para readequação das dotações orçamentárias para manutenção das atividades,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7C7B46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06" w:rsidRDefault="00662106" w:rsidP="00126850">
      <w:pPr>
        <w:spacing w:line="240" w:lineRule="auto"/>
      </w:pPr>
      <w:r>
        <w:separator/>
      </w:r>
    </w:p>
  </w:endnote>
  <w:endnote w:type="continuationSeparator" w:id="0">
    <w:p w:rsidR="00662106" w:rsidRDefault="0066210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7B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7B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06" w:rsidRDefault="00662106" w:rsidP="00126850">
      <w:pPr>
        <w:spacing w:line="240" w:lineRule="auto"/>
      </w:pPr>
      <w:r>
        <w:separator/>
      </w:r>
    </w:p>
  </w:footnote>
  <w:footnote w:type="continuationSeparator" w:id="0">
    <w:p w:rsidR="00662106" w:rsidRDefault="0066210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2106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7B46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5C207-8656-4770-AF83-547BDC48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2019-09-05T23:12:00Z</dcterms:modified>
</cp:coreProperties>
</file>