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383/2019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R$ 688.703,55 (seiscentos e oitenta e oito mil, setecentos e três reais e cinquenta e cinco centavos), para readequação das dotações orçamentárias para manutenção das atividades,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7C7B46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106" w:rsidRDefault="00662106" w:rsidP="00126850">
      <w:pPr>
        <w:spacing w:line="240" w:lineRule="auto"/>
      </w:pPr>
      <w:r>
        <w:separator/>
      </w:r>
    </w:p>
  </w:endnote>
  <w:endnote w:type="continuationSeparator" w:id="0">
    <w:p w:rsidR="00662106" w:rsidRDefault="0066210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C7B4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C7B4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106" w:rsidRDefault="00662106" w:rsidP="00126850">
      <w:pPr>
        <w:spacing w:line="240" w:lineRule="auto"/>
      </w:pPr>
      <w:r>
        <w:separator/>
      </w:r>
    </w:p>
  </w:footnote>
  <w:footnote w:type="continuationSeparator" w:id="0">
    <w:p w:rsidR="00662106" w:rsidRDefault="0066210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2106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C7B46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5C207-8656-4770-AF83-547BDC48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2019-09-05T23:12:00Z</dcterms:modified>
</cp:coreProperties>
</file>