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9.657, de 18 de julho de 2019 (reformula a Comissão Municipal de Combate ao Assédio e à Discriminação), de modo a prever excepcional hipótese de extensão do mandato dos membros titulares e suplentes e da diretoria.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C7" w:rsidRDefault="008916C7" w:rsidP="00126850">
      <w:pPr>
        <w:spacing w:line="240" w:lineRule="auto"/>
      </w:pPr>
      <w:r>
        <w:separator/>
      </w:r>
    </w:p>
  </w:endnote>
  <w:endnote w:type="continuationSeparator" w:id="0">
    <w:p w:rsidR="008916C7" w:rsidRDefault="008916C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1A6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1A6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C7" w:rsidRDefault="008916C7" w:rsidP="00126850">
      <w:pPr>
        <w:spacing w:line="240" w:lineRule="auto"/>
      </w:pPr>
      <w:r>
        <w:separator/>
      </w:r>
    </w:p>
  </w:footnote>
  <w:footnote w:type="continuationSeparator" w:id="0">
    <w:p w:rsidR="008916C7" w:rsidRDefault="008916C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1A62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16C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1EAD-7CE2-4271-B233-1455AE21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2019-09-05T23:06:00Z</dcterms:modified>
</cp:coreProperties>
</file>