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1235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1153F">
        <w:rPr>
          <w:rFonts w:ascii="Tahoma" w:hAnsi="Tahoma" w:cs="Tahoma"/>
          <w:b/>
          <w:sz w:val="32"/>
          <w:szCs w:val="32"/>
          <w:u w:val="single"/>
        </w:rPr>
        <w:t>28</w:t>
      </w:r>
      <w:r w:rsidR="0061235A">
        <w:rPr>
          <w:rFonts w:ascii="Tahoma" w:hAnsi="Tahoma" w:cs="Tahoma"/>
          <w:b/>
          <w:sz w:val="32"/>
          <w:szCs w:val="32"/>
          <w:u w:val="single"/>
        </w:rPr>
        <w:t>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1153F">
        <w:rPr>
          <w:rFonts w:ascii="Tahoma" w:hAnsi="Tahoma" w:cs="Tahoma"/>
          <w:b/>
          <w:sz w:val="32"/>
          <w:szCs w:val="32"/>
          <w:u w:val="single"/>
        </w:rPr>
        <w:t>296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21153F" w:rsidRPr="0021153F" w:rsidRDefault="0021153F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MESA DA CÂMARA MUNICIPAL DE ARARAQUARA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1153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1153F">
        <w:rPr>
          <w:rFonts w:ascii="Calibri" w:hAnsi="Calibri" w:cs="Calibri"/>
          <w:sz w:val="22"/>
          <w:szCs w:val="22"/>
        </w:rPr>
        <w:t>Altera a Lei nº 9.152, de 6 de dezembro de 2017.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1153F" w:rsidRPr="0021153F" w:rsidRDefault="0021153F" w:rsidP="002115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21153F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21153F">
        <w:rPr>
          <w:rFonts w:ascii="Calibri" w:hAnsi="Calibri" w:cs="Calibri"/>
          <w:sz w:val="24"/>
          <w:szCs w:val="22"/>
        </w:rPr>
        <w:t>º  A</w:t>
      </w:r>
      <w:proofErr w:type="gramEnd"/>
      <w:r w:rsidRPr="0021153F">
        <w:rPr>
          <w:rFonts w:ascii="Calibri" w:hAnsi="Calibri" w:cs="Calibri"/>
          <w:sz w:val="24"/>
          <w:szCs w:val="22"/>
        </w:rPr>
        <w:t xml:space="preserve"> Lei nº 9.152, de 6 de dezembro de 2017, passa a vigorar com a seguinte alteração:</w:t>
      </w:r>
    </w:p>
    <w:p w:rsidR="0021153F" w:rsidRPr="0021153F" w:rsidRDefault="0021153F" w:rsidP="002115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1153F" w:rsidRPr="0021153F" w:rsidRDefault="0021153F" w:rsidP="0021153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1153F">
        <w:rPr>
          <w:rFonts w:ascii="Calibri" w:hAnsi="Calibri" w:cs="Calibri"/>
          <w:sz w:val="24"/>
          <w:szCs w:val="22"/>
        </w:rPr>
        <w:t>“Art. 14.  A designação para as vagas de gerente atreladas à Gerência de Consultoria Legislativa e de Cerimonial e Eventos está condicionada ao provimento de cargos atrelados aos processos sob responsabilidade das respectivas unidades administrativas, sendo vedada qualquer designação na hipótese de a unidade possuir quantitativo total de servidores inferior a 3 servidores efetivos atuantes na atividade-fim da unidade organizacional.” (NR)</w:t>
      </w:r>
    </w:p>
    <w:p w:rsidR="0021153F" w:rsidRPr="0021153F" w:rsidRDefault="0021153F" w:rsidP="002115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1153F" w:rsidP="002115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21153F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21153F">
        <w:rPr>
          <w:rFonts w:ascii="Calibri" w:hAnsi="Calibri" w:cs="Calibri"/>
          <w:sz w:val="24"/>
          <w:szCs w:val="22"/>
        </w:rPr>
        <w:t>º  Esta</w:t>
      </w:r>
      <w:proofErr w:type="gramEnd"/>
      <w:r w:rsidRPr="0021153F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21153F" w:rsidRPr="00646520" w:rsidRDefault="0021153F" w:rsidP="0021153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D15D0">
        <w:rPr>
          <w:rFonts w:ascii="Calibri" w:hAnsi="Calibri" w:cs="Calibri"/>
          <w:sz w:val="24"/>
          <w:szCs w:val="24"/>
        </w:rPr>
        <w:t>04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D15D0">
        <w:rPr>
          <w:rFonts w:ascii="Calibri" w:hAnsi="Calibri" w:cs="Calibri"/>
          <w:sz w:val="24"/>
          <w:szCs w:val="24"/>
        </w:rPr>
        <w:t>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1235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1235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153F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235A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177</cp:revision>
  <cp:lastPrinted>2018-06-26T22:41:00Z</cp:lastPrinted>
  <dcterms:created xsi:type="dcterms:W3CDTF">2016-08-16T19:55:00Z</dcterms:created>
  <dcterms:modified xsi:type="dcterms:W3CDTF">2019-09-03T23:53:00Z</dcterms:modified>
</cp:coreProperties>
</file>