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310/2019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R$ 1.200.000,00 (um milhão e duzentos mil reais), para a manutenção dos serviços nas unidades de saúde e a transferência de recursos à Santa Casa de Araraquara,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A12" w:rsidRDefault="00A54A12" w:rsidP="00126850">
      <w:pPr>
        <w:spacing w:line="240" w:lineRule="auto"/>
      </w:pPr>
      <w:r>
        <w:separator/>
      </w:r>
    </w:p>
  </w:endnote>
  <w:endnote w:type="continuationSeparator" w:id="0">
    <w:p w:rsidR="00A54A12" w:rsidRDefault="00A54A1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24AB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24AB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A12" w:rsidRDefault="00A54A12" w:rsidP="00126850">
      <w:pPr>
        <w:spacing w:line="240" w:lineRule="auto"/>
      </w:pPr>
      <w:r>
        <w:separator/>
      </w:r>
    </w:p>
  </w:footnote>
  <w:footnote w:type="continuationSeparator" w:id="0">
    <w:p w:rsidR="00A54A12" w:rsidRDefault="00A54A1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4AB4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54A12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1D583-BBAE-4125-AC79-9E988A942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2019-07-12T00:14:00Z</dcterms:modified>
</cp:coreProperties>
</file>