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Reformula a Comissão Municipal de Combate ao Assédio Moral e à Discriminação,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10D" w:rsidRDefault="000D010D" w:rsidP="00126850">
      <w:pPr>
        <w:spacing w:line="240" w:lineRule="auto"/>
      </w:pPr>
      <w:r>
        <w:separator/>
      </w:r>
    </w:p>
  </w:endnote>
  <w:endnote w:type="continuationSeparator" w:id="0">
    <w:p w:rsidR="000D010D" w:rsidRDefault="000D010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04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04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10D" w:rsidRDefault="000D010D" w:rsidP="00126850">
      <w:pPr>
        <w:spacing w:line="240" w:lineRule="auto"/>
      </w:pPr>
      <w:r>
        <w:separator/>
      </w:r>
    </w:p>
  </w:footnote>
  <w:footnote w:type="continuationSeparator" w:id="0">
    <w:p w:rsidR="000D010D" w:rsidRDefault="000D010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010D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451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5AFDE-5209-4754-AC55-0CB55702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2019-07-12T00:11:00Z</dcterms:modified>
</cp:coreProperties>
</file>