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BF6CCE" w:rsidRPr="00BF6CCE"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R$ 1.200.000,00 (um milhão e duzentos mil reais), para a manutenção dos serviços nas unidades de saúde e a transferência de recursos à Santa Casa de Araraquara, e dá outras providências.</w:t>
      </w:r>
      <w:bookmarkStart w:id="0" w:name="_GoBack"/>
      <w:bookmarkEnd w:id="0"/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BF6CCE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6A3" w:rsidRDefault="00E406A3" w:rsidP="00126850">
      <w:pPr>
        <w:spacing w:line="240" w:lineRule="auto"/>
      </w:pPr>
      <w:r>
        <w:separator/>
      </w:r>
    </w:p>
  </w:endnote>
  <w:endnote w:type="continuationSeparator" w:id="0">
    <w:p w:rsidR="00E406A3" w:rsidRDefault="00E406A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F6C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F6C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6A3" w:rsidRDefault="00E406A3" w:rsidP="00126850">
      <w:pPr>
        <w:spacing w:line="240" w:lineRule="auto"/>
      </w:pPr>
      <w:r>
        <w:separator/>
      </w:r>
    </w:p>
  </w:footnote>
  <w:footnote w:type="continuationSeparator" w:id="0">
    <w:p w:rsidR="00E406A3" w:rsidRDefault="00E406A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CCE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6A3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9EC12-7291-4AFD-8B7A-EA5CE4F0B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2019-07-12T00:12:00Z</dcterms:modified>
</cp:coreProperties>
</file>