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129/2019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JULIANA ANDRIÃO DAMUS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Djalma Santo Françoso a via pública da sede do Município conhecida como Avenida “M”, do loteamento denominado Residencial Monte Carlo, com início na Rua “D” e término na Rua “E”,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D6" w:rsidRDefault="009E76D6" w:rsidP="00126850">
      <w:pPr>
        <w:spacing w:line="240" w:lineRule="auto"/>
      </w:pPr>
      <w:r>
        <w:separator/>
      </w:r>
    </w:p>
  </w:endnote>
  <w:endnote w:type="continuationSeparator" w:id="0">
    <w:p w:rsidR="009E76D6" w:rsidRDefault="009E76D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28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28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D6" w:rsidRDefault="009E76D6" w:rsidP="00126850">
      <w:pPr>
        <w:spacing w:line="240" w:lineRule="auto"/>
      </w:pPr>
      <w:r>
        <w:separator/>
      </w:r>
    </w:p>
  </w:footnote>
  <w:footnote w:type="continuationSeparator" w:id="0">
    <w:p w:rsidR="009E76D6" w:rsidRDefault="009E76D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87F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76D6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DF2B-3EFF-4916-8D62-56E8669F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2019-04-25T17:57:00Z</dcterms:modified>
</cp:coreProperties>
</file>