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430F0">
        <w:rPr>
          <w:rFonts w:ascii="Arial" w:hAnsi="Arial" w:cs="Arial"/>
          <w:sz w:val="24"/>
          <w:szCs w:val="24"/>
        </w:rPr>
        <w:t>1</w:t>
      </w:r>
      <w:r w:rsidR="00DC0668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430F0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B430F0">
        <w:rPr>
          <w:rFonts w:ascii="Arial" w:hAnsi="Arial" w:cs="Arial"/>
          <w:sz w:val="24"/>
          <w:szCs w:val="24"/>
        </w:rPr>
        <w:t>42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B430F0">
        <w:rPr>
          <w:b/>
          <w:bCs/>
          <w:sz w:val="32"/>
          <w:szCs w:val="32"/>
        </w:rPr>
        <w:t>42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B342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B342A">
        <w:rPr>
          <w:rFonts w:ascii="Arial" w:hAnsi="Arial" w:cs="Arial"/>
          <w:sz w:val="22"/>
          <w:szCs w:val="22"/>
        </w:rPr>
        <w:t>Altera a Lei nº 8.971, de 11 de maio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ab/>
      </w:r>
      <w:r w:rsidRPr="002B342A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B342A">
        <w:rPr>
          <w:rFonts w:ascii="Arial" w:hAnsi="Arial" w:cs="Arial"/>
          <w:sz w:val="24"/>
          <w:szCs w:val="24"/>
        </w:rPr>
        <w:t>º  A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Lei nº 8.971, de 11 de maio de 2017, passa a vigorar com as seguintes alterações: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“Art. 3º O Conselho Municipal de Desenvolvimento Rural de Araraquara será constituído por 35 (trinta e cinco) membros, de acordo com a seguinte composição: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I - 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o) 1 (um) representante da Coordenadoria Executiva de Segurança Alimentar da Secretaria Municipal de Assistência e Desenvolvimento Social; e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p) 1 (um) representante da Companhia de Entrepostos e Armazéns Gerais de São Paulo (Ceagesp), unidade de Araraquara.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II - 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f) 2 (dois) representantes do Assentamento Monte Alegre, sendo 1 (um) do Setor 3 e 1 (um) do Setor 6;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k) 2 (dois) representantes da agricultura familiar tradicional;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o) 1 (um) representante de Sindicatos dos Trabalhadores do Município de Araraquara;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§ 5</w:t>
      </w:r>
      <w:proofErr w:type="gramStart"/>
      <w:r w:rsidRPr="002B342A">
        <w:rPr>
          <w:rFonts w:ascii="Arial" w:hAnsi="Arial" w:cs="Arial"/>
          <w:sz w:val="24"/>
          <w:szCs w:val="24"/>
        </w:rPr>
        <w:t>º  As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representações da sociedade civil e de entidades privadas referidas neste artigo, cujos titulares e suplentes se ausentarem por 3 (três) vezes das reuniões do Conselho, de maneira injustificada, serão substituídos, por meio de novas designações efetuadas pelo Chefe do Executivo, respeitando-se a representatividade estabelecida neste artigo.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§ 6</w:t>
      </w:r>
      <w:proofErr w:type="gramStart"/>
      <w:r w:rsidRPr="002B342A">
        <w:rPr>
          <w:rFonts w:ascii="Arial" w:hAnsi="Arial" w:cs="Arial"/>
          <w:sz w:val="24"/>
          <w:szCs w:val="24"/>
        </w:rPr>
        <w:t>º  Para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cada membro titular será indicado um suplente, que o substituirá em seus impedimentos.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lastRenderedPageBreak/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bookmarkStart w:id="0" w:name="_GoBack"/>
      <w:bookmarkEnd w:id="0"/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>Art. 8</w:t>
      </w:r>
      <w:proofErr w:type="gramStart"/>
      <w:r w:rsidRPr="002B342A">
        <w:rPr>
          <w:rFonts w:ascii="Arial" w:hAnsi="Arial" w:cs="Arial"/>
          <w:sz w:val="24"/>
          <w:szCs w:val="24"/>
        </w:rPr>
        <w:t>º  O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CMDR reunir-se-á ordinariamente uma vez a cada dois meses e extraordinariamente sempre que necessário, sendo convocado pelo Presidente ou pela maioria dos seus membros titulares.” (NR)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ab/>
      </w:r>
      <w:r w:rsidRPr="002B342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B342A">
        <w:rPr>
          <w:rFonts w:ascii="Arial" w:hAnsi="Arial" w:cs="Arial"/>
          <w:sz w:val="24"/>
          <w:szCs w:val="24"/>
        </w:rPr>
        <w:t>º  Ficam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revogadas as alíneas “b” e “j” do inciso II do art. 3º da Lei nº 8.971, de 2017.</w:t>
      </w: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B342A" w:rsidRPr="002B342A" w:rsidRDefault="002B342A" w:rsidP="002B34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B342A">
        <w:rPr>
          <w:rFonts w:ascii="Arial" w:hAnsi="Arial" w:cs="Arial"/>
          <w:sz w:val="24"/>
          <w:szCs w:val="24"/>
        </w:rPr>
        <w:tab/>
      </w:r>
      <w:r w:rsidRPr="002B342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B342A">
        <w:rPr>
          <w:rFonts w:ascii="Arial" w:hAnsi="Arial" w:cs="Arial"/>
          <w:sz w:val="24"/>
          <w:szCs w:val="24"/>
        </w:rPr>
        <w:t>º  Esta</w:t>
      </w:r>
      <w:proofErr w:type="gramEnd"/>
      <w:r w:rsidRPr="002B342A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42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B342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430F0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2019-04-16T17:32:00Z</dcterms:modified>
</cp:coreProperties>
</file>