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FBB" w:rsidRPr="004F3FBB" w:rsidRDefault="004F3FBB" w:rsidP="004F3FBB">
      <w:pPr>
        <w:spacing w:line="240" w:lineRule="auto"/>
        <w:ind w:right="-1"/>
        <w:rPr>
          <w:rFonts w:asciiTheme="majorHAnsi" w:eastAsia="Times New Roman" w:hAnsiTheme="majorHAnsi" w:cs="Times New Roman"/>
          <w:snapToGrid w:val="0"/>
          <w:szCs w:val="26"/>
          <w:lang w:eastAsia="pt-BR"/>
        </w:rPr>
      </w:pPr>
      <w:r w:rsidRPr="004F3FBB">
        <w:rPr>
          <w:rFonts w:asciiTheme="majorHAnsi" w:eastAsia="Times New Roman" w:hAnsiTheme="majorHAnsi" w:cs="Times New Roman"/>
          <w:snapToGrid w:val="0"/>
          <w:szCs w:val="26"/>
          <w:lang w:eastAsia="pt-BR"/>
        </w:rPr>
        <w:t>Circular nº 012</w:t>
      </w:r>
      <w:r>
        <w:rPr>
          <w:rFonts w:asciiTheme="majorHAnsi" w:eastAsia="Times New Roman" w:hAnsiTheme="majorHAnsi" w:cs="Times New Roman"/>
          <w:snapToGrid w:val="0"/>
          <w:szCs w:val="26"/>
          <w:lang w:eastAsia="pt-BR"/>
        </w:rPr>
        <w:t>/2021</w:t>
      </w:r>
    </w:p>
    <w:p w:rsidR="004F3FBB" w:rsidRPr="004F3FBB" w:rsidRDefault="004F3FBB" w:rsidP="004F3FBB">
      <w:pPr>
        <w:spacing w:line="240" w:lineRule="auto"/>
        <w:ind w:right="-1"/>
        <w:jc w:val="right"/>
        <w:rPr>
          <w:rFonts w:asciiTheme="majorHAnsi" w:eastAsia="Times New Roman" w:hAnsiTheme="majorHAnsi" w:cs="Times New Roman"/>
          <w:snapToGrid w:val="0"/>
          <w:szCs w:val="26"/>
          <w:lang w:eastAsia="pt-BR"/>
        </w:rPr>
      </w:pPr>
      <w:r w:rsidRPr="004F3FBB">
        <w:rPr>
          <w:rFonts w:asciiTheme="majorHAnsi" w:eastAsia="Times New Roman" w:hAnsiTheme="majorHAnsi" w:cs="Times New Roman"/>
          <w:snapToGrid w:val="0"/>
          <w:szCs w:val="26"/>
          <w:lang w:val="x-none" w:eastAsia="pt-BR"/>
        </w:rPr>
        <w:t xml:space="preserve">Araraquara, </w:t>
      </w:r>
      <w:r w:rsidRPr="004F3FBB">
        <w:rPr>
          <w:rFonts w:asciiTheme="majorHAnsi" w:eastAsia="Times New Roman" w:hAnsiTheme="majorHAnsi" w:cs="Times New Roman"/>
          <w:snapToGrid w:val="0"/>
          <w:szCs w:val="26"/>
          <w:lang w:eastAsia="pt-BR"/>
        </w:rPr>
        <w:t xml:space="preserve">16 de agosto </w:t>
      </w:r>
      <w:r>
        <w:rPr>
          <w:rFonts w:asciiTheme="majorHAnsi" w:eastAsia="Times New Roman" w:hAnsiTheme="majorHAnsi" w:cs="Times New Roman"/>
          <w:snapToGrid w:val="0"/>
          <w:szCs w:val="26"/>
          <w:lang w:eastAsia="pt-BR"/>
        </w:rPr>
        <w:t>de 2021</w:t>
      </w:r>
      <w:bookmarkStart w:id="0" w:name="_GoBack"/>
      <w:bookmarkEnd w:id="0"/>
    </w:p>
    <w:p w:rsidR="004F3FBB" w:rsidRPr="004F3FBB" w:rsidRDefault="004F3FBB" w:rsidP="004F3FBB">
      <w:pPr>
        <w:spacing w:line="240" w:lineRule="auto"/>
        <w:ind w:right="-1"/>
        <w:jc w:val="both"/>
        <w:rPr>
          <w:rFonts w:asciiTheme="majorHAnsi" w:eastAsia="Times New Roman" w:hAnsiTheme="majorHAnsi" w:cs="Times New Roman"/>
          <w:snapToGrid w:val="0"/>
          <w:szCs w:val="26"/>
          <w:lang w:eastAsia="pt-BR"/>
        </w:rPr>
      </w:pPr>
    </w:p>
    <w:p w:rsidR="004F3FBB" w:rsidRPr="004F3FBB" w:rsidRDefault="004F3FBB" w:rsidP="004F3FBB">
      <w:pPr>
        <w:spacing w:line="240" w:lineRule="auto"/>
        <w:ind w:right="-1"/>
        <w:jc w:val="both"/>
        <w:rPr>
          <w:rFonts w:asciiTheme="majorHAnsi" w:eastAsia="Times New Roman" w:hAnsiTheme="majorHAnsi" w:cs="Times New Roman"/>
          <w:snapToGrid w:val="0"/>
          <w:szCs w:val="26"/>
          <w:lang w:eastAsia="pt-BR"/>
        </w:rPr>
      </w:pPr>
    </w:p>
    <w:p w:rsidR="004F3FBB" w:rsidRPr="004F3FBB" w:rsidRDefault="004F3FBB" w:rsidP="004F3FBB">
      <w:pPr>
        <w:spacing w:line="240" w:lineRule="auto"/>
        <w:ind w:right="-1"/>
        <w:jc w:val="both"/>
        <w:rPr>
          <w:rFonts w:asciiTheme="majorHAnsi" w:eastAsia="Times New Roman" w:hAnsiTheme="majorHAnsi" w:cs="Times New Roman"/>
          <w:snapToGrid w:val="0"/>
          <w:szCs w:val="26"/>
          <w:lang w:eastAsia="pt-BR"/>
        </w:rPr>
      </w:pPr>
      <w:r w:rsidRPr="004F3FBB">
        <w:rPr>
          <w:rFonts w:asciiTheme="majorHAnsi" w:eastAsia="Times New Roman" w:hAnsiTheme="majorHAnsi" w:cs="Times New Roman"/>
          <w:snapToGrid w:val="0"/>
          <w:szCs w:val="26"/>
          <w:lang w:eastAsia="pt-BR"/>
        </w:rPr>
        <w:t xml:space="preserve">Assunto: </w:t>
      </w:r>
      <w:r w:rsidRPr="004F3FBB">
        <w:rPr>
          <w:rFonts w:asciiTheme="majorHAnsi" w:eastAsia="Times New Roman" w:hAnsiTheme="majorHAnsi" w:cs="Times New Roman"/>
          <w:b/>
          <w:snapToGrid w:val="0"/>
          <w:szCs w:val="26"/>
          <w:lang w:eastAsia="pt-BR"/>
        </w:rPr>
        <w:t>Projeto de Lei nº 235/17 – Plano Plurianual do Município para o período 2018-2021</w:t>
      </w:r>
    </w:p>
    <w:p w:rsidR="004F3FBB" w:rsidRPr="004F3FBB" w:rsidRDefault="004F3FBB" w:rsidP="004F3FBB">
      <w:pPr>
        <w:spacing w:line="240" w:lineRule="auto"/>
        <w:ind w:right="-1"/>
        <w:jc w:val="both"/>
        <w:rPr>
          <w:rFonts w:asciiTheme="majorHAnsi" w:eastAsia="Times New Roman" w:hAnsiTheme="majorHAnsi" w:cs="Times New Roman"/>
          <w:snapToGrid w:val="0"/>
          <w:szCs w:val="26"/>
          <w:lang w:eastAsia="pt-BR"/>
        </w:rPr>
      </w:pPr>
    </w:p>
    <w:p w:rsidR="004F3FBB" w:rsidRPr="004F3FBB" w:rsidRDefault="004F3FBB" w:rsidP="004F3FBB">
      <w:pPr>
        <w:spacing w:line="240" w:lineRule="auto"/>
        <w:ind w:right="-1" w:firstLine="1418"/>
        <w:jc w:val="both"/>
        <w:rPr>
          <w:rFonts w:asciiTheme="majorHAnsi" w:eastAsia="Times New Roman" w:hAnsiTheme="majorHAnsi" w:cs="Times New Roman"/>
          <w:snapToGrid w:val="0"/>
          <w:szCs w:val="26"/>
          <w:lang w:eastAsia="pt-BR"/>
        </w:rPr>
      </w:pPr>
      <w:r w:rsidRPr="004F3FBB">
        <w:rPr>
          <w:rFonts w:asciiTheme="majorHAnsi" w:eastAsia="Times New Roman" w:hAnsiTheme="majorHAnsi" w:cs="Times New Roman"/>
          <w:snapToGrid w:val="0"/>
          <w:szCs w:val="26"/>
          <w:lang w:eastAsia="pt-BR"/>
        </w:rPr>
        <w:t>Nobres Edis,</w:t>
      </w:r>
    </w:p>
    <w:p w:rsidR="004F3FBB" w:rsidRPr="004F3FBB" w:rsidRDefault="004F3FBB" w:rsidP="004F3FBB">
      <w:pPr>
        <w:spacing w:line="240" w:lineRule="auto"/>
        <w:ind w:right="-1" w:firstLine="1418"/>
        <w:jc w:val="both"/>
        <w:rPr>
          <w:rFonts w:asciiTheme="majorHAnsi" w:eastAsia="Times New Roman" w:hAnsiTheme="majorHAnsi" w:cs="Times New Roman"/>
          <w:snapToGrid w:val="0"/>
          <w:szCs w:val="26"/>
          <w:lang w:eastAsia="pt-BR"/>
        </w:rPr>
      </w:pPr>
    </w:p>
    <w:p w:rsidR="004F3FBB" w:rsidRPr="004F3FBB" w:rsidRDefault="004F3FBB" w:rsidP="004F3FBB">
      <w:pPr>
        <w:spacing w:line="240" w:lineRule="auto"/>
        <w:ind w:firstLine="1418"/>
        <w:jc w:val="both"/>
        <w:rPr>
          <w:rFonts w:asciiTheme="majorHAnsi" w:eastAsia="Times New Roman" w:hAnsiTheme="majorHAnsi" w:cs="Times New Roman"/>
          <w:snapToGrid w:val="0"/>
          <w:szCs w:val="26"/>
          <w:lang w:eastAsia="pt-BR"/>
        </w:rPr>
      </w:pPr>
      <w:r w:rsidRPr="004F3FBB">
        <w:rPr>
          <w:rFonts w:asciiTheme="majorHAnsi" w:eastAsia="Times New Roman" w:hAnsiTheme="majorHAnsi" w:cs="Times New Roman"/>
          <w:snapToGrid w:val="0"/>
          <w:szCs w:val="26"/>
          <w:lang w:val="x-none" w:eastAsia="pt-BR"/>
        </w:rPr>
        <w:t xml:space="preserve">Nos termos do artigo </w:t>
      </w:r>
      <w:r w:rsidRPr="004F3FBB">
        <w:rPr>
          <w:rFonts w:asciiTheme="majorHAnsi" w:eastAsia="Times New Roman" w:hAnsiTheme="majorHAnsi" w:cs="Times New Roman"/>
          <w:snapToGrid w:val="0"/>
          <w:szCs w:val="26"/>
          <w:lang w:eastAsia="pt-BR"/>
        </w:rPr>
        <w:t>305</w:t>
      </w:r>
      <w:r w:rsidRPr="004F3FBB">
        <w:rPr>
          <w:rFonts w:asciiTheme="majorHAnsi" w:eastAsia="Times New Roman" w:hAnsiTheme="majorHAnsi" w:cs="Times New Roman"/>
          <w:snapToGrid w:val="0"/>
          <w:szCs w:val="26"/>
          <w:lang w:val="x-none" w:eastAsia="pt-BR"/>
        </w:rPr>
        <w:t xml:space="preserve">, do Regimento Interno da Câmara Municipal de Araraquara, anexo à Resolução número 399, de 14 de novembro de 2012, </w:t>
      </w:r>
      <w:r w:rsidRPr="004F3FBB">
        <w:rPr>
          <w:rFonts w:asciiTheme="majorHAnsi" w:eastAsia="Times New Roman" w:hAnsiTheme="majorHAnsi" w:cs="Times New Roman"/>
          <w:snapToGrid w:val="0"/>
          <w:szCs w:val="26"/>
          <w:lang w:eastAsia="pt-BR"/>
        </w:rPr>
        <w:t xml:space="preserve">informo que a Prefeitura do Município de Araraquara protocolizou nesta Casa de Leis, sob o número 3273 e na data de 15 de agosto de 2017, Projeto de Lei que “estabelece o Plano Plurianual do Município para o período 2018 a 2021 e define diretrizes, objetivos e metas da administração pública para o exercício de 2018”, autuado como </w:t>
      </w:r>
      <w:r w:rsidRPr="004F3FBB">
        <w:rPr>
          <w:rFonts w:asciiTheme="majorHAnsi" w:eastAsia="Times New Roman" w:hAnsiTheme="majorHAnsi" w:cs="Times New Roman"/>
          <w:b/>
          <w:bCs/>
          <w:snapToGrid w:val="0"/>
          <w:szCs w:val="26"/>
          <w:lang w:val="x-none" w:eastAsia="pt-BR"/>
        </w:rPr>
        <w:t xml:space="preserve">Projeto de Lei nº </w:t>
      </w:r>
      <w:r w:rsidRPr="004F3FBB">
        <w:rPr>
          <w:rFonts w:asciiTheme="majorHAnsi" w:eastAsia="Times New Roman" w:hAnsiTheme="majorHAnsi" w:cs="Times New Roman"/>
          <w:b/>
          <w:bCs/>
          <w:snapToGrid w:val="0"/>
          <w:szCs w:val="26"/>
          <w:lang w:eastAsia="pt-BR"/>
        </w:rPr>
        <w:t>235</w:t>
      </w:r>
      <w:r w:rsidRPr="004F3FBB">
        <w:rPr>
          <w:rFonts w:asciiTheme="majorHAnsi" w:eastAsia="Times New Roman" w:hAnsiTheme="majorHAnsi" w:cs="Times New Roman"/>
          <w:b/>
          <w:bCs/>
          <w:snapToGrid w:val="0"/>
          <w:szCs w:val="26"/>
          <w:lang w:val="x-none" w:eastAsia="pt-BR"/>
        </w:rPr>
        <w:t>/17</w:t>
      </w:r>
      <w:r w:rsidRPr="004F3FBB">
        <w:rPr>
          <w:rFonts w:asciiTheme="majorHAnsi" w:eastAsia="Times New Roman" w:hAnsiTheme="majorHAnsi" w:cs="Times New Roman"/>
          <w:snapToGrid w:val="0"/>
          <w:szCs w:val="26"/>
          <w:lang w:val="x-none" w:eastAsia="pt-BR"/>
        </w:rPr>
        <w:t xml:space="preserve">, </w:t>
      </w:r>
      <w:r w:rsidRPr="004F3FBB">
        <w:rPr>
          <w:rFonts w:asciiTheme="majorHAnsi" w:eastAsia="Times New Roman" w:hAnsiTheme="majorHAnsi" w:cs="Times New Roman"/>
          <w:snapToGrid w:val="0"/>
          <w:szCs w:val="26"/>
          <w:lang w:eastAsia="pt-BR"/>
        </w:rPr>
        <w:t>estando este – bem como seus respectivos anexos – disponível na rede de computadores interna e externa.</w:t>
      </w:r>
    </w:p>
    <w:p w:rsidR="004F3FBB" w:rsidRPr="004F3FBB" w:rsidRDefault="004F3FBB" w:rsidP="004F3FBB">
      <w:pPr>
        <w:spacing w:line="240" w:lineRule="auto"/>
        <w:ind w:firstLine="1418"/>
        <w:jc w:val="both"/>
        <w:rPr>
          <w:rFonts w:asciiTheme="majorHAnsi" w:eastAsia="Times New Roman" w:hAnsiTheme="majorHAnsi" w:cs="Times New Roman"/>
          <w:snapToGrid w:val="0"/>
          <w:szCs w:val="26"/>
          <w:lang w:eastAsia="pt-BR"/>
        </w:rPr>
      </w:pPr>
      <w:r w:rsidRPr="004F3FBB">
        <w:rPr>
          <w:rFonts w:asciiTheme="majorHAnsi" w:eastAsia="Times New Roman" w:hAnsiTheme="majorHAnsi" w:cs="Times New Roman"/>
          <w:snapToGrid w:val="0"/>
          <w:szCs w:val="26"/>
          <w:lang w:val="x-none" w:eastAsia="pt-BR"/>
        </w:rPr>
        <w:t xml:space="preserve">Conforme as normas regimentais vigentes, pelo prazo de </w:t>
      </w:r>
      <w:r w:rsidRPr="004F3FBB">
        <w:rPr>
          <w:rFonts w:asciiTheme="majorHAnsi" w:eastAsia="Times New Roman" w:hAnsiTheme="majorHAnsi" w:cs="Times New Roman"/>
          <w:b/>
          <w:bCs/>
          <w:snapToGrid w:val="0"/>
          <w:szCs w:val="26"/>
          <w:lang w:val="x-none" w:eastAsia="pt-BR"/>
        </w:rPr>
        <w:t>30 (trinta) dias</w:t>
      </w:r>
      <w:r w:rsidRPr="004F3FBB">
        <w:rPr>
          <w:rFonts w:asciiTheme="majorHAnsi" w:eastAsia="Times New Roman" w:hAnsiTheme="majorHAnsi" w:cs="Times New Roman"/>
          <w:snapToGrid w:val="0"/>
          <w:szCs w:val="26"/>
          <w:lang w:val="x-none" w:eastAsia="pt-BR"/>
        </w:rPr>
        <w:t xml:space="preserve">, ou seja, </w:t>
      </w:r>
      <w:r w:rsidRPr="004F3FBB">
        <w:rPr>
          <w:rFonts w:asciiTheme="majorHAnsi" w:eastAsia="Times New Roman" w:hAnsiTheme="majorHAnsi" w:cs="Times New Roman"/>
          <w:b/>
          <w:bCs/>
          <w:snapToGrid w:val="0"/>
          <w:szCs w:val="26"/>
          <w:lang w:val="x-none" w:eastAsia="pt-BR"/>
        </w:rPr>
        <w:t>até</w:t>
      </w:r>
      <w:r w:rsidRPr="004F3FBB">
        <w:rPr>
          <w:rFonts w:asciiTheme="majorHAnsi" w:eastAsia="Times New Roman" w:hAnsiTheme="majorHAnsi" w:cs="Times New Roman"/>
          <w:b/>
          <w:bCs/>
          <w:snapToGrid w:val="0"/>
          <w:szCs w:val="26"/>
          <w:lang w:eastAsia="pt-BR"/>
        </w:rPr>
        <w:t xml:space="preserve"> 14 </w:t>
      </w:r>
      <w:r w:rsidRPr="004F3FBB">
        <w:rPr>
          <w:rFonts w:asciiTheme="majorHAnsi" w:eastAsia="Times New Roman" w:hAnsiTheme="majorHAnsi" w:cs="Times New Roman"/>
          <w:b/>
          <w:bCs/>
          <w:snapToGrid w:val="0"/>
          <w:szCs w:val="26"/>
          <w:lang w:val="x-none" w:eastAsia="pt-BR"/>
        </w:rPr>
        <w:t xml:space="preserve">de </w:t>
      </w:r>
      <w:r w:rsidRPr="004F3FBB">
        <w:rPr>
          <w:rFonts w:asciiTheme="majorHAnsi" w:eastAsia="Times New Roman" w:hAnsiTheme="majorHAnsi" w:cs="Times New Roman"/>
          <w:b/>
          <w:bCs/>
          <w:snapToGrid w:val="0"/>
          <w:szCs w:val="26"/>
          <w:lang w:eastAsia="pt-BR"/>
        </w:rPr>
        <w:t xml:space="preserve">setembro </w:t>
      </w:r>
      <w:r w:rsidRPr="004F3FBB">
        <w:rPr>
          <w:rFonts w:asciiTheme="majorHAnsi" w:eastAsia="Times New Roman" w:hAnsiTheme="majorHAnsi" w:cs="Times New Roman"/>
          <w:bCs/>
          <w:snapToGrid w:val="0"/>
          <w:szCs w:val="26"/>
          <w:lang w:val="x-none" w:eastAsia="pt-BR"/>
        </w:rPr>
        <w:t>do corrente ano</w:t>
      </w:r>
      <w:r w:rsidRPr="004F3FBB">
        <w:rPr>
          <w:rFonts w:asciiTheme="majorHAnsi" w:eastAsia="Times New Roman" w:hAnsiTheme="majorHAnsi" w:cs="Times New Roman"/>
          <w:b/>
          <w:bCs/>
          <w:snapToGrid w:val="0"/>
          <w:szCs w:val="26"/>
          <w:lang w:val="x-none" w:eastAsia="pt-BR"/>
        </w:rPr>
        <w:t>, às 18 horas</w:t>
      </w:r>
      <w:r w:rsidRPr="004F3FBB">
        <w:rPr>
          <w:rFonts w:asciiTheme="majorHAnsi" w:eastAsia="Times New Roman" w:hAnsiTheme="majorHAnsi" w:cs="Times New Roman"/>
          <w:snapToGrid w:val="0"/>
          <w:szCs w:val="26"/>
          <w:lang w:val="x-none" w:eastAsia="pt-BR"/>
        </w:rPr>
        <w:t>, poder</w:t>
      </w:r>
      <w:r w:rsidRPr="004F3FBB">
        <w:rPr>
          <w:rFonts w:asciiTheme="majorHAnsi" w:eastAsia="Times New Roman" w:hAnsiTheme="majorHAnsi" w:cs="Times New Roman"/>
          <w:snapToGrid w:val="0"/>
          <w:szCs w:val="26"/>
          <w:lang w:eastAsia="pt-BR"/>
        </w:rPr>
        <w:t xml:space="preserve">ão ser apresentadas, por escrito, </w:t>
      </w:r>
      <w:r w:rsidRPr="004F3FBB">
        <w:rPr>
          <w:rFonts w:asciiTheme="majorHAnsi" w:eastAsia="Times New Roman" w:hAnsiTheme="majorHAnsi" w:cs="Times New Roman"/>
          <w:snapToGrid w:val="0"/>
          <w:szCs w:val="26"/>
          <w:lang w:val="x-none" w:eastAsia="pt-BR"/>
        </w:rPr>
        <w:t xml:space="preserve">emendas, sugestões </w:t>
      </w:r>
      <w:r w:rsidRPr="004F3FBB">
        <w:rPr>
          <w:rFonts w:asciiTheme="majorHAnsi" w:eastAsia="Times New Roman" w:hAnsiTheme="majorHAnsi" w:cs="Times New Roman"/>
          <w:snapToGrid w:val="0"/>
          <w:szCs w:val="26"/>
          <w:lang w:eastAsia="pt-BR"/>
        </w:rPr>
        <w:t>e esclarecimentos à supramencionada proposituras</w:t>
      </w:r>
      <w:r w:rsidRPr="004F3FBB">
        <w:rPr>
          <w:rFonts w:asciiTheme="majorHAnsi" w:eastAsia="Times New Roman" w:hAnsiTheme="majorHAnsi" w:cs="Times New Roman"/>
          <w:snapToGrid w:val="0"/>
          <w:szCs w:val="26"/>
          <w:lang w:val="x-none" w:eastAsia="pt-BR"/>
        </w:rPr>
        <w:t>, as quais deverão ser protocol</w:t>
      </w:r>
      <w:r w:rsidRPr="004F3FBB">
        <w:rPr>
          <w:rFonts w:asciiTheme="majorHAnsi" w:eastAsia="Times New Roman" w:hAnsiTheme="majorHAnsi" w:cs="Times New Roman"/>
          <w:snapToGrid w:val="0"/>
          <w:szCs w:val="26"/>
          <w:lang w:eastAsia="pt-BR"/>
        </w:rPr>
        <w:t>iz</w:t>
      </w:r>
      <w:r w:rsidRPr="004F3FBB">
        <w:rPr>
          <w:rFonts w:asciiTheme="majorHAnsi" w:eastAsia="Times New Roman" w:hAnsiTheme="majorHAnsi" w:cs="Times New Roman"/>
          <w:snapToGrid w:val="0"/>
          <w:szCs w:val="26"/>
          <w:lang w:val="x-none" w:eastAsia="pt-BR"/>
        </w:rPr>
        <w:t>adas no “Setor de Protocolo” d</w:t>
      </w:r>
      <w:r w:rsidRPr="004F3FBB">
        <w:rPr>
          <w:rFonts w:asciiTheme="majorHAnsi" w:eastAsia="Times New Roman" w:hAnsiTheme="majorHAnsi" w:cs="Times New Roman"/>
          <w:snapToGrid w:val="0"/>
          <w:szCs w:val="26"/>
          <w:lang w:eastAsia="pt-BR"/>
        </w:rPr>
        <w:t>est</w:t>
      </w:r>
      <w:r w:rsidRPr="004F3FBB">
        <w:rPr>
          <w:rFonts w:asciiTheme="majorHAnsi" w:eastAsia="Times New Roman" w:hAnsiTheme="majorHAnsi" w:cs="Times New Roman"/>
          <w:snapToGrid w:val="0"/>
          <w:szCs w:val="26"/>
          <w:lang w:val="x-none" w:eastAsia="pt-BR"/>
        </w:rPr>
        <w:t>a C</w:t>
      </w:r>
      <w:r w:rsidRPr="004F3FBB">
        <w:rPr>
          <w:rFonts w:asciiTheme="majorHAnsi" w:eastAsia="Times New Roman" w:hAnsiTheme="majorHAnsi" w:cs="Times New Roman"/>
          <w:snapToGrid w:val="0"/>
          <w:szCs w:val="26"/>
          <w:lang w:eastAsia="pt-BR"/>
        </w:rPr>
        <w:t xml:space="preserve">asa de Leis, devendo ser apreciadas por ambas a Comissão de Justiça, Legislação e Redação e a Comissão de Tributação, Finanças e Orçamento. </w:t>
      </w:r>
    </w:p>
    <w:p w:rsidR="004F3FBB" w:rsidRPr="004F3FBB" w:rsidRDefault="004F3FBB" w:rsidP="004F3FBB">
      <w:pPr>
        <w:spacing w:line="240" w:lineRule="auto"/>
        <w:ind w:firstLine="1418"/>
        <w:jc w:val="both"/>
        <w:rPr>
          <w:rFonts w:asciiTheme="majorHAnsi" w:eastAsia="Times New Roman" w:hAnsiTheme="majorHAnsi" w:cs="Times New Roman"/>
          <w:snapToGrid w:val="0"/>
          <w:szCs w:val="26"/>
          <w:lang w:eastAsia="pt-BR"/>
        </w:rPr>
      </w:pPr>
      <w:r w:rsidRPr="004F3FBB">
        <w:rPr>
          <w:rFonts w:asciiTheme="majorHAnsi" w:eastAsia="Times New Roman" w:hAnsiTheme="majorHAnsi" w:cs="Times New Roman"/>
          <w:snapToGrid w:val="0"/>
          <w:szCs w:val="26"/>
          <w:lang w:eastAsia="pt-BR"/>
        </w:rPr>
        <w:t xml:space="preserve">No mesmo prazo apontado no parágrafo acima, deverão a Comissão de Justiça, Legislação e Redação e a Comissão de Tributação, Finanças e Orçamento promover audiências públicas, a fim de viabilizar a participação popular na tramitação desta propositura. </w:t>
      </w:r>
    </w:p>
    <w:p w:rsidR="004F3FBB" w:rsidRPr="004F3FBB" w:rsidRDefault="004F3FBB" w:rsidP="004F3FBB">
      <w:pPr>
        <w:spacing w:line="240" w:lineRule="auto"/>
        <w:ind w:firstLine="1418"/>
        <w:jc w:val="both"/>
        <w:rPr>
          <w:rFonts w:asciiTheme="majorHAnsi" w:eastAsia="Times New Roman" w:hAnsiTheme="majorHAnsi" w:cs="Times New Roman"/>
          <w:snapToGrid w:val="0"/>
          <w:szCs w:val="26"/>
          <w:lang w:eastAsia="pt-BR"/>
        </w:rPr>
      </w:pPr>
      <w:r w:rsidRPr="004F3FBB">
        <w:rPr>
          <w:rFonts w:asciiTheme="majorHAnsi" w:eastAsia="Times New Roman" w:hAnsiTheme="majorHAnsi" w:cs="Times New Roman"/>
          <w:snapToGrid w:val="0"/>
          <w:szCs w:val="26"/>
          <w:lang w:eastAsia="pt-BR"/>
        </w:rPr>
        <w:t xml:space="preserve"> </w:t>
      </w:r>
    </w:p>
    <w:p w:rsidR="004F3FBB" w:rsidRPr="004F3FBB" w:rsidRDefault="004F3FBB" w:rsidP="004F3FBB">
      <w:pPr>
        <w:spacing w:line="240" w:lineRule="auto"/>
        <w:ind w:right="-1" w:firstLine="1418"/>
        <w:jc w:val="both"/>
        <w:rPr>
          <w:rFonts w:asciiTheme="majorHAnsi" w:eastAsia="Times New Roman" w:hAnsiTheme="majorHAnsi" w:cs="Times New Roman"/>
          <w:snapToGrid w:val="0"/>
          <w:szCs w:val="26"/>
          <w:lang w:eastAsia="pt-BR"/>
        </w:rPr>
      </w:pPr>
      <w:r w:rsidRPr="004F3FBB">
        <w:rPr>
          <w:rFonts w:asciiTheme="majorHAnsi" w:eastAsia="Times New Roman" w:hAnsiTheme="majorHAnsi" w:cs="Times New Roman"/>
          <w:snapToGrid w:val="0"/>
          <w:szCs w:val="26"/>
          <w:lang w:eastAsia="pt-BR"/>
        </w:rPr>
        <w:t>Atenciosamente,</w:t>
      </w:r>
    </w:p>
    <w:p w:rsidR="004F3FBB" w:rsidRPr="004F3FBB" w:rsidRDefault="004F3FBB" w:rsidP="004F3FBB">
      <w:pPr>
        <w:spacing w:line="240" w:lineRule="auto"/>
        <w:ind w:right="-1"/>
        <w:jc w:val="both"/>
        <w:rPr>
          <w:rFonts w:asciiTheme="majorHAnsi" w:eastAsia="Times New Roman" w:hAnsiTheme="majorHAnsi" w:cs="Times New Roman"/>
          <w:snapToGrid w:val="0"/>
          <w:szCs w:val="26"/>
          <w:lang w:eastAsia="pt-BR"/>
        </w:rPr>
      </w:pPr>
    </w:p>
    <w:p w:rsidR="004F3FBB" w:rsidRPr="004F3FBB" w:rsidRDefault="004F3FBB" w:rsidP="004F3FBB">
      <w:pPr>
        <w:spacing w:line="240" w:lineRule="auto"/>
        <w:ind w:right="-1"/>
        <w:jc w:val="both"/>
        <w:rPr>
          <w:rFonts w:asciiTheme="majorHAnsi" w:eastAsia="Times New Roman" w:hAnsiTheme="majorHAnsi" w:cs="Times New Roman"/>
          <w:snapToGrid w:val="0"/>
          <w:szCs w:val="26"/>
          <w:lang w:eastAsia="pt-BR"/>
        </w:rPr>
      </w:pPr>
    </w:p>
    <w:p w:rsidR="004F3FBB" w:rsidRPr="004F3FBB" w:rsidRDefault="004F3FBB" w:rsidP="004F3FBB">
      <w:pPr>
        <w:spacing w:line="240" w:lineRule="auto"/>
        <w:ind w:right="-1"/>
        <w:jc w:val="center"/>
        <w:rPr>
          <w:rFonts w:asciiTheme="majorHAnsi" w:eastAsia="Times New Roman" w:hAnsiTheme="majorHAnsi" w:cs="Times New Roman"/>
          <w:snapToGrid w:val="0"/>
          <w:szCs w:val="26"/>
          <w:lang w:eastAsia="pt-BR"/>
        </w:rPr>
      </w:pPr>
      <w:r w:rsidRPr="004F3FBB">
        <w:rPr>
          <w:rFonts w:asciiTheme="majorHAnsi" w:eastAsia="Times New Roman" w:hAnsiTheme="majorHAnsi" w:cs="Times New Roman"/>
          <w:snapToGrid w:val="0"/>
          <w:szCs w:val="26"/>
          <w:lang w:eastAsia="pt-BR"/>
        </w:rPr>
        <w:t>JÉFERSON YASHUDA FARMACÊUTICO</w:t>
      </w:r>
    </w:p>
    <w:p w:rsidR="004F3FBB" w:rsidRPr="004F3FBB" w:rsidRDefault="004F3FBB" w:rsidP="004F3FBB">
      <w:pPr>
        <w:spacing w:line="240" w:lineRule="auto"/>
        <w:ind w:right="-1"/>
        <w:jc w:val="center"/>
        <w:rPr>
          <w:rFonts w:asciiTheme="majorHAnsi" w:eastAsia="Times New Roman" w:hAnsiTheme="majorHAnsi" w:cs="Times New Roman"/>
          <w:snapToGrid w:val="0"/>
          <w:szCs w:val="26"/>
          <w:lang w:eastAsia="pt-BR"/>
        </w:rPr>
      </w:pPr>
      <w:r w:rsidRPr="004F3FBB">
        <w:rPr>
          <w:rFonts w:asciiTheme="majorHAnsi" w:eastAsia="Times New Roman" w:hAnsiTheme="majorHAnsi" w:cs="Times New Roman"/>
          <w:snapToGrid w:val="0"/>
          <w:szCs w:val="26"/>
          <w:lang w:eastAsia="pt-BR"/>
        </w:rPr>
        <w:t>Presidente</w:t>
      </w:r>
    </w:p>
    <w:p w:rsidR="009C5FA0" w:rsidRPr="004F3FBB" w:rsidRDefault="009C5FA0" w:rsidP="004F3FBB">
      <w:pPr>
        <w:rPr>
          <w:rStyle w:val="Estilo1"/>
          <w:rFonts w:asciiTheme="majorHAnsi" w:hAnsiTheme="majorHAnsi"/>
          <w:b w:val="0"/>
          <w:sz w:val="22"/>
          <w:szCs w:val="22"/>
        </w:rPr>
      </w:pPr>
    </w:p>
    <w:sectPr w:rsidR="009C5FA0" w:rsidRPr="004F3FBB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1BD" w:rsidRDefault="00A811BD" w:rsidP="00126850">
      <w:pPr>
        <w:spacing w:line="240" w:lineRule="auto"/>
      </w:pPr>
      <w:r>
        <w:separator/>
      </w:r>
    </w:p>
  </w:endnote>
  <w:endnote w:type="continuationSeparator" w:id="0">
    <w:p w:rsidR="00A811BD" w:rsidRDefault="00A811B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4F3FBB" w:rsidRDefault="00A939CC" w:rsidP="00A939CC">
            <w:pPr>
              <w:pStyle w:val="Cabealho"/>
              <w:jc w:val="center"/>
              <w:rPr>
                <w:rFonts w:ascii="Calibri Light" w:hAnsi="Calibri Light"/>
                <w:b/>
                <w:szCs w:val="24"/>
              </w:rPr>
            </w:pPr>
            <w:r w:rsidRPr="004F3FBB">
              <w:rPr>
                <w:rFonts w:ascii="Calibri Light" w:hAnsi="Calibri Light"/>
                <w:b/>
                <w:szCs w:val="24"/>
              </w:rPr>
              <w:t>_________________________________________________________________________________</w:t>
            </w:r>
          </w:p>
          <w:p w:rsidR="00A939CC" w:rsidRPr="004F3FBB" w:rsidRDefault="00A939CC" w:rsidP="00A939CC">
            <w:pPr>
              <w:pStyle w:val="Rodap"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4F3FBB">
              <w:rPr>
                <w:rFonts w:ascii="Calibri Light" w:hAnsi="Calibri Light"/>
                <w:sz w:val="20"/>
                <w:szCs w:val="20"/>
              </w:rPr>
              <w:t>Rua São Bento, 887, Centro, Araraquara - SP, CEP 14801-300</w:t>
            </w:r>
          </w:p>
          <w:p w:rsidR="00A939CC" w:rsidRPr="004F3FBB" w:rsidRDefault="00A939CC" w:rsidP="00A939CC">
            <w:pPr>
              <w:pStyle w:val="Rodap"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4F3FBB">
              <w:rPr>
                <w:rFonts w:ascii="Calibri Light" w:hAnsi="Calibri Light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4F3FBB">
              <w:rPr>
                <w:rFonts w:ascii="Calibri Light" w:hAnsi="Calibri Light"/>
              </w:rPr>
              <w:t xml:space="preserve">Página </w:t>
            </w:r>
            <w:r w:rsidRPr="004F3FBB">
              <w:rPr>
                <w:rFonts w:ascii="Calibri Light" w:hAnsi="Calibri Light"/>
                <w:b/>
                <w:bCs/>
                <w:szCs w:val="24"/>
              </w:rPr>
              <w:fldChar w:fldCharType="begin"/>
            </w:r>
            <w:r w:rsidRPr="004F3FBB">
              <w:rPr>
                <w:rFonts w:ascii="Calibri Light" w:hAnsi="Calibri Light"/>
                <w:b/>
                <w:bCs/>
              </w:rPr>
              <w:instrText>PAGE</w:instrText>
            </w:r>
            <w:r w:rsidRPr="004F3FBB">
              <w:rPr>
                <w:rFonts w:ascii="Calibri Light" w:hAnsi="Calibri Light"/>
                <w:b/>
                <w:bCs/>
                <w:szCs w:val="24"/>
              </w:rPr>
              <w:fldChar w:fldCharType="separate"/>
            </w:r>
            <w:r w:rsidR="00A811BD">
              <w:rPr>
                <w:rFonts w:ascii="Calibri Light" w:hAnsi="Calibri Light"/>
                <w:b/>
                <w:bCs/>
                <w:noProof/>
              </w:rPr>
              <w:t>1</w:t>
            </w:r>
            <w:r w:rsidRPr="004F3FBB">
              <w:rPr>
                <w:rFonts w:ascii="Calibri Light" w:hAnsi="Calibri Light"/>
                <w:b/>
                <w:bCs/>
                <w:szCs w:val="24"/>
              </w:rPr>
              <w:fldChar w:fldCharType="end"/>
            </w:r>
            <w:r w:rsidRPr="004F3FBB">
              <w:rPr>
                <w:rFonts w:ascii="Calibri Light" w:hAnsi="Calibri Light"/>
              </w:rPr>
              <w:t xml:space="preserve"> de </w:t>
            </w:r>
            <w:r w:rsidRPr="004F3FBB">
              <w:rPr>
                <w:rFonts w:ascii="Calibri Light" w:hAnsi="Calibri Light"/>
                <w:b/>
                <w:bCs/>
                <w:szCs w:val="24"/>
              </w:rPr>
              <w:fldChar w:fldCharType="begin"/>
            </w:r>
            <w:r w:rsidRPr="004F3FBB">
              <w:rPr>
                <w:rFonts w:ascii="Calibri Light" w:hAnsi="Calibri Light"/>
                <w:b/>
                <w:bCs/>
              </w:rPr>
              <w:instrText>NUMPAGES</w:instrText>
            </w:r>
            <w:r w:rsidRPr="004F3FBB">
              <w:rPr>
                <w:rFonts w:ascii="Calibri Light" w:hAnsi="Calibri Light"/>
                <w:b/>
                <w:bCs/>
                <w:szCs w:val="24"/>
              </w:rPr>
              <w:fldChar w:fldCharType="separate"/>
            </w:r>
            <w:r w:rsidR="00A811BD">
              <w:rPr>
                <w:rFonts w:ascii="Calibri Light" w:hAnsi="Calibri Light"/>
                <w:b/>
                <w:bCs/>
                <w:noProof/>
              </w:rPr>
              <w:t>1</w:t>
            </w:r>
            <w:r w:rsidRPr="004F3FBB">
              <w:rPr>
                <w:rFonts w:ascii="Calibri Light" w:hAnsi="Calibri Light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1BD" w:rsidRDefault="00A811BD" w:rsidP="00126850">
      <w:pPr>
        <w:spacing w:line="240" w:lineRule="auto"/>
      </w:pPr>
      <w:r>
        <w:separator/>
      </w:r>
    </w:p>
  </w:footnote>
  <w:footnote w:type="continuationSeparator" w:id="0">
    <w:p w:rsidR="00A811BD" w:rsidRDefault="00A811B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1B093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Gabinete da Presidência</w:t>
    </w:r>
  </w:p>
  <w:p w:rsidR="002F5765" w:rsidRPr="004F3FBB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093B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4F3FBB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5521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0F66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11BD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685521"/>
    <w:pPr>
      <w:suppressAutoHyphens/>
      <w:spacing w:after="120" w:line="480" w:lineRule="auto"/>
      <w:ind w:left="283"/>
    </w:pPr>
    <w:rPr>
      <w:rFonts w:eastAsia="Times New Roman" w:cs="Times New Roman"/>
      <w:sz w:val="20"/>
      <w:szCs w:val="20"/>
      <w:lang w:val="x-none"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85521"/>
    <w:rPr>
      <w:rFonts w:eastAsia="Times New Roman" w:cs="Times New Roman"/>
      <w:sz w:val="20"/>
      <w:szCs w:val="20"/>
      <w:lang w:val="x-non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1D37E-F1AA-4BD9-B5B3-C235AFFCA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2018-06-08T17:01:00Z</cp:lastPrinted>
  <dcterms:created xsi:type="dcterms:W3CDTF">2019-01-29T17:05:00Z</dcterms:created>
  <dcterms:modified xsi:type="dcterms:W3CDTF">2019-01-29T17:05:00Z</dcterms:modified>
</cp:coreProperties>
</file>