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9C0883" w:rsidP="00F26C8A">
      <w:pPr>
        <w:pStyle w:val="Cabealho"/>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2686050</wp:posOffset>
            </wp:positionH>
            <wp:positionV relativeFrom="paragraph">
              <wp:posOffset>9525</wp:posOffset>
            </wp:positionV>
            <wp:extent cx="798195" cy="861060"/>
            <wp:effectExtent l="0" t="0" r="1905" b="0"/>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8195" cy="861060"/>
                    </a:xfrm>
                    <a:prstGeom prst="rect">
                      <a:avLst/>
                    </a:prstGeom>
                    <a:noFill/>
                  </pic:spPr>
                </pic:pic>
              </a:graphicData>
            </a:graphic>
            <wp14:sizeRelH relativeFrom="page">
              <wp14:pctWidth>0</wp14:pctWidth>
            </wp14:sizeRelH>
            <wp14:sizeRelV relativeFrom="page">
              <wp14:pctHeight>0</wp14:pctHeight>
            </wp14:sizeRelV>
          </wp:anchor>
        </w:drawing>
      </w:r>
    </w:p>
    <w:p w:rsidR="00900F90" w:rsidRPr="00900F90" w:rsidRDefault="00900F90" w:rsidP="00900F90">
      <w:pPr>
        <w:pStyle w:val="Cabealho"/>
        <w:ind w:left="426"/>
        <w:jc w:val="center"/>
        <w:rPr>
          <w:b/>
          <w:sz w:val="12"/>
        </w:rPr>
      </w:pPr>
    </w:p>
    <w:p w:rsidR="00B154DD" w:rsidRDefault="00B154DD" w:rsidP="00F26C8A">
      <w:pPr>
        <w:pStyle w:val="Cabealho"/>
        <w:jc w:val="center"/>
        <w:rPr>
          <w:b/>
          <w:sz w:val="36"/>
        </w:rPr>
      </w:pPr>
    </w:p>
    <w:p w:rsidR="00B154DD" w:rsidRDefault="00B154DD" w:rsidP="00F26C8A">
      <w:pPr>
        <w:pStyle w:val="Cabealho"/>
        <w:jc w:val="center"/>
        <w:rPr>
          <w:b/>
          <w:sz w:val="36"/>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C0883">
        <w:rPr>
          <w:rFonts w:ascii="Tahoma" w:hAnsi="Tahoma" w:cs="Tahoma"/>
          <w:b/>
          <w:sz w:val="32"/>
          <w:szCs w:val="32"/>
          <w:u w:val="single"/>
        </w:rPr>
        <w:t>004</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C0883">
        <w:rPr>
          <w:rFonts w:ascii="Tahoma" w:hAnsi="Tahoma" w:cs="Tahoma"/>
          <w:b/>
          <w:sz w:val="32"/>
          <w:szCs w:val="32"/>
          <w:u w:val="single"/>
        </w:rPr>
        <w:t>022</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B154DD" w:rsidP="00BA7D43">
      <w:pPr>
        <w:ind w:left="5103"/>
        <w:jc w:val="both"/>
        <w:rPr>
          <w:rFonts w:ascii="Calibri" w:hAnsi="Calibri" w:cs="Calibri"/>
          <w:sz w:val="22"/>
          <w:szCs w:val="22"/>
        </w:rPr>
      </w:pPr>
      <w:r w:rsidRPr="00B154DD">
        <w:rPr>
          <w:rFonts w:ascii="Calibri" w:hAnsi="Calibri" w:cs="Calibri"/>
          <w:sz w:val="22"/>
          <w:szCs w:val="22"/>
        </w:rPr>
        <w:t>Dispõe sobre a autorização para a concessão de Subvenções Sociais e Auxílio às Entidades de Assistência Social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bCs/>
          <w:sz w:val="24"/>
          <w:szCs w:val="22"/>
        </w:rPr>
        <w:t>Art. 1</w:t>
      </w:r>
      <w:proofErr w:type="gramStart"/>
      <w:r w:rsidRPr="00B154DD">
        <w:rPr>
          <w:rFonts w:ascii="Calibri" w:hAnsi="Calibri" w:cs="Calibri"/>
          <w:bCs/>
          <w:sz w:val="24"/>
          <w:szCs w:val="22"/>
        </w:rPr>
        <w:t>º</w:t>
      </w:r>
      <w:r>
        <w:rPr>
          <w:rFonts w:ascii="Calibri" w:hAnsi="Calibri" w:cs="Calibri"/>
          <w:bCs/>
          <w:sz w:val="24"/>
          <w:szCs w:val="22"/>
        </w:rPr>
        <w:t xml:space="preserve"> </w:t>
      </w:r>
      <w:bookmarkStart w:id="0" w:name="_GoBack"/>
      <w:bookmarkEnd w:id="0"/>
      <w:r w:rsidRPr="00B154DD">
        <w:rPr>
          <w:rFonts w:ascii="Calibri" w:hAnsi="Calibri" w:cs="Calibri"/>
          <w:sz w:val="24"/>
          <w:szCs w:val="22"/>
        </w:rPr>
        <w:t xml:space="preserve"> Fica</w:t>
      </w:r>
      <w:proofErr w:type="gramEnd"/>
      <w:r w:rsidRPr="00B154DD">
        <w:rPr>
          <w:rFonts w:ascii="Calibri" w:hAnsi="Calibri" w:cs="Calibri"/>
          <w:sz w:val="24"/>
          <w:szCs w:val="22"/>
        </w:rPr>
        <w:t xml:space="preserve"> o Poder Executivo autorizado a conceder, no corrente exercício, Subvenções Sociais às Entidades de Assistência Social, no valor de R$ 797.651,77 (setecentos e noventa e sete mil, seiscentos e cinquenta e um reais e setenta e sete centavos), destinadas à manutenção das mesmas, com despesas de custeio, conforme demonstrativo abaixo:</w:t>
      </w:r>
    </w:p>
    <w:tbl>
      <w:tblPr>
        <w:tblW w:w="8946" w:type="dxa"/>
        <w:jc w:val="center"/>
        <w:tblCellMar>
          <w:left w:w="70" w:type="dxa"/>
          <w:right w:w="70" w:type="dxa"/>
        </w:tblCellMar>
        <w:tblLook w:val="04A0" w:firstRow="1" w:lastRow="0" w:firstColumn="1" w:lastColumn="0" w:noHBand="0" w:noVBand="1"/>
      </w:tblPr>
      <w:tblGrid>
        <w:gridCol w:w="5260"/>
        <w:gridCol w:w="2220"/>
        <w:gridCol w:w="1466"/>
      </w:tblGrid>
      <w:tr w:rsidR="00B154DD" w:rsidRPr="00B154DD" w:rsidTr="00A04C25">
        <w:trPr>
          <w:trHeight w:val="300"/>
          <w:jc w:val="center"/>
        </w:trPr>
        <w:tc>
          <w:tcPr>
            <w:tcW w:w="5260" w:type="dxa"/>
            <w:tcBorders>
              <w:top w:val="single" w:sz="4" w:space="0" w:color="auto"/>
              <w:left w:val="single" w:sz="4" w:space="0" w:color="auto"/>
              <w:bottom w:val="single" w:sz="4" w:space="0" w:color="auto"/>
              <w:right w:val="single" w:sz="4" w:space="0" w:color="auto"/>
            </w:tcBorders>
            <w:noWrap/>
            <w:vAlign w:val="bottom"/>
            <w:hideMark/>
          </w:tcPr>
          <w:p w:rsidR="00B154DD" w:rsidRPr="00B154DD" w:rsidRDefault="00B154DD" w:rsidP="00B154DD">
            <w:pPr>
              <w:tabs>
                <w:tab w:val="left" w:pos="709"/>
                <w:tab w:val="left" w:pos="1418"/>
                <w:tab w:val="left" w:pos="2127"/>
                <w:tab w:val="left" w:pos="2835"/>
              </w:tabs>
              <w:jc w:val="both"/>
              <w:rPr>
                <w:rFonts w:ascii="Calibri" w:hAnsi="Calibri" w:cs="Calibri"/>
                <w:b/>
                <w:sz w:val="24"/>
                <w:szCs w:val="22"/>
              </w:rPr>
            </w:pPr>
            <w:r w:rsidRPr="00B154DD">
              <w:rPr>
                <w:rFonts w:ascii="Calibri" w:hAnsi="Calibri" w:cs="Calibri"/>
                <w:b/>
                <w:sz w:val="24"/>
                <w:szCs w:val="22"/>
              </w:rPr>
              <w:t>Entidade</w:t>
            </w:r>
          </w:p>
        </w:tc>
        <w:tc>
          <w:tcPr>
            <w:tcW w:w="2220" w:type="dxa"/>
            <w:tcBorders>
              <w:top w:val="single" w:sz="4" w:space="0" w:color="auto"/>
              <w:left w:val="nil"/>
              <w:bottom w:val="single" w:sz="4" w:space="0" w:color="auto"/>
              <w:right w:val="single" w:sz="4" w:space="0" w:color="auto"/>
            </w:tcBorders>
            <w:noWrap/>
            <w:vAlign w:val="bottom"/>
            <w:hideMark/>
          </w:tcPr>
          <w:p w:rsidR="00B154DD" w:rsidRPr="00B154DD" w:rsidRDefault="00B154DD" w:rsidP="00B154DD">
            <w:pPr>
              <w:tabs>
                <w:tab w:val="left" w:pos="709"/>
                <w:tab w:val="left" w:pos="1418"/>
                <w:tab w:val="left" w:pos="2127"/>
                <w:tab w:val="left" w:pos="2835"/>
              </w:tabs>
              <w:jc w:val="both"/>
              <w:rPr>
                <w:rFonts w:ascii="Calibri" w:hAnsi="Calibri" w:cs="Calibri"/>
                <w:b/>
                <w:sz w:val="24"/>
                <w:szCs w:val="22"/>
              </w:rPr>
            </w:pPr>
            <w:r w:rsidRPr="00B154DD">
              <w:rPr>
                <w:rFonts w:ascii="Calibri" w:hAnsi="Calibri" w:cs="Calibri"/>
                <w:b/>
                <w:sz w:val="24"/>
                <w:szCs w:val="22"/>
              </w:rPr>
              <w:t>CNPJ</w:t>
            </w:r>
          </w:p>
        </w:tc>
        <w:tc>
          <w:tcPr>
            <w:tcW w:w="1466" w:type="dxa"/>
            <w:tcBorders>
              <w:top w:val="single" w:sz="4" w:space="0" w:color="auto"/>
              <w:left w:val="nil"/>
              <w:bottom w:val="single" w:sz="4" w:space="0" w:color="auto"/>
              <w:right w:val="single" w:sz="4" w:space="0" w:color="auto"/>
            </w:tcBorders>
            <w:noWrap/>
            <w:vAlign w:val="bottom"/>
            <w:hideMark/>
          </w:tcPr>
          <w:p w:rsidR="00B154DD" w:rsidRPr="00B154DD" w:rsidRDefault="00B154DD" w:rsidP="00B154DD">
            <w:pPr>
              <w:tabs>
                <w:tab w:val="left" w:pos="709"/>
                <w:tab w:val="left" w:pos="1418"/>
                <w:tab w:val="left" w:pos="2127"/>
                <w:tab w:val="left" w:pos="2835"/>
              </w:tabs>
              <w:jc w:val="both"/>
              <w:rPr>
                <w:rFonts w:ascii="Calibri" w:hAnsi="Calibri" w:cs="Calibri"/>
                <w:b/>
                <w:sz w:val="24"/>
                <w:szCs w:val="22"/>
              </w:rPr>
            </w:pPr>
            <w:r w:rsidRPr="00B154DD">
              <w:rPr>
                <w:rFonts w:ascii="Calibri" w:hAnsi="Calibri" w:cs="Calibri"/>
                <w:b/>
                <w:sz w:val="24"/>
                <w:szCs w:val="22"/>
              </w:rPr>
              <w:t>Valor</w:t>
            </w:r>
          </w:p>
        </w:tc>
      </w:tr>
      <w:tr w:rsidR="00B154DD" w:rsidRPr="00B154DD" w:rsidTr="00A04C25">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Associação de Atendimento Educacional Especializado</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66.998.931/0001-39</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80.091,00</w:t>
            </w:r>
          </w:p>
        </w:tc>
      </w:tr>
      <w:tr w:rsidR="00B154DD" w:rsidRPr="00B154DD" w:rsidTr="00A04C25">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Associação de Pais e Amigos dos Excepcionais de Araraquara</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43.976.844/0001-85</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10.359,00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Associação Cultural Ary Luiz Bombarda</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07.112.164/0001-50</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18.360,00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Associação para Mulheres – Bebê a Bordo</w:t>
            </w:r>
          </w:p>
        </w:tc>
        <w:tc>
          <w:tcPr>
            <w:tcW w:w="2220"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10.518.148/0001-76</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1.170,00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Casa Betânia</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43.971.217/0001-51</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10.945,80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 xml:space="preserve">Casa </w:t>
            </w:r>
            <w:proofErr w:type="spellStart"/>
            <w:r w:rsidRPr="00B154DD">
              <w:rPr>
                <w:rFonts w:ascii="Calibri" w:hAnsi="Calibri" w:cs="Calibri"/>
                <w:sz w:val="24"/>
                <w:szCs w:val="22"/>
              </w:rPr>
              <w:t>Mater</w:t>
            </w:r>
            <w:proofErr w:type="spellEnd"/>
            <w:r w:rsidRPr="00B154DD">
              <w:rPr>
                <w:rFonts w:ascii="Calibri" w:hAnsi="Calibri" w:cs="Calibri"/>
                <w:sz w:val="24"/>
                <w:szCs w:val="22"/>
              </w:rPr>
              <w:t xml:space="preserve"> Raio de Luz</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02.607.563/0001-78</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900,00</w:t>
            </w:r>
          </w:p>
        </w:tc>
      </w:tr>
      <w:tr w:rsidR="00B154DD" w:rsidRPr="00B154DD" w:rsidTr="00A04C25">
        <w:trPr>
          <w:trHeight w:val="373"/>
          <w:jc w:val="center"/>
        </w:trPr>
        <w:tc>
          <w:tcPr>
            <w:tcW w:w="5260" w:type="dxa"/>
            <w:tcBorders>
              <w:top w:val="nil"/>
              <w:left w:val="single" w:sz="4" w:space="0" w:color="auto"/>
              <w:bottom w:val="single" w:sz="4" w:space="0" w:color="auto"/>
              <w:right w:val="single" w:sz="4" w:space="0" w:color="auto"/>
            </w:tcBorders>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Centro Comunitário Nossa Senhora do Carmo</w:t>
            </w:r>
          </w:p>
        </w:tc>
        <w:tc>
          <w:tcPr>
            <w:tcW w:w="2220"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43.977.073/0001-40</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62.841,87</w:t>
            </w:r>
          </w:p>
        </w:tc>
      </w:tr>
      <w:tr w:rsidR="00B154DD" w:rsidRPr="00B154DD" w:rsidTr="00A04C25">
        <w:trPr>
          <w:trHeight w:val="407"/>
          <w:jc w:val="center"/>
        </w:trPr>
        <w:tc>
          <w:tcPr>
            <w:tcW w:w="5260" w:type="dxa"/>
            <w:tcBorders>
              <w:top w:val="nil"/>
              <w:left w:val="single" w:sz="4" w:space="0" w:color="auto"/>
              <w:bottom w:val="single" w:sz="4" w:space="0" w:color="auto"/>
              <w:right w:val="single" w:sz="4" w:space="0" w:color="auto"/>
            </w:tcBorders>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Centro Cultural e Assistencial Oficina das Meninas</w:t>
            </w:r>
          </w:p>
        </w:tc>
        <w:tc>
          <w:tcPr>
            <w:tcW w:w="2220"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05.076.313/0001-47</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46.170,00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 xml:space="preserve">Centro Espírita Eurípedes </w:t>
            </w:r>
            <w:proofErr w:type="spellStart"/>
            <w:r w:rsidRPr="00B154DD">
              <w:rPr>
                <w:rFonts w:ascii="Calibri" w:hAnsi="Calibri" w:cs="Calibri"/>
                <w:sz w:val="24"/>
                <w:szCs w:val="22"/>
              </w:rPr>
              <w:t>Barsanulfo</w:t>
            </w:r>
            <w:proofErr w:type="spellEnd"/>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00.977.115/0001-30</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20.250,00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 xml:space="preserve">Fundação Toque – Fundação para o Bem-Estar Educacional, Esportivo, Social, Cultural e Ocupacional de Araraquara e Região - FUNBESCO </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08.409.109/0001-99</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177.640,60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Instituto Conviva Down de Araraquara</w:t>
            </w:r>
          </w:p>
        </w:tc>
        <w:tc>
          <w:tcPr>
            <w:tcW w:w="2220"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20.299.625/0001-03</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23.805,00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 xml:space="preserve">Lar Caminho e Paz </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08.283.719/0001-99</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105.750,00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Lar da Criança Renascer</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74.493.065/0001-52</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97.011,00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Lar Escola Redenção</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50.400.951/0001-26</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52.393,50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 xml:space="preserve">Liga de Assistência Cristo Rei </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43.975.580/0001-45</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11.700,00</w:t>
            </w:r>
          </w:p>
        </w:tc>
      </w:tr>
      <w:tr w:rsidR="00B154DD" w:rsidRPr="00B154DD" w:rsidTr="00A04C25">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PARA DV - Associação para o Apoio e Integração do Deficiente Visual</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01.053.806/0001-00</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1.170,00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Sociedade Amigos do Bairro Santa Angelina</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45.268.463/0001-77</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8.748,00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Sociedade Beneficente Escola do Mestre Jesus</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44.240.737/0001-57</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65.646,00</w:t>
            </w:r>
          </w:p>
        </w:tc>
      </w:tr>
      <w:tr w:rsidR="00B154DD" w:rsidRPr="00B154DD" w:rsidTr="00A04C25">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Sociedade de Educação e Promoção Social Imaculada Conceição</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43.975.465/0009-28</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2.700,00</w:t>
            </w:r>
          </w:p>
        </w:tc>
      </w:tr>
    </w:tbl>
    <w:p w:rsidR="00B154DD" w:rsidRDefault="00B154DD" w:rsidP="00B154DD">
      <w:pPr>
        <w:tabs>
          <w:tab w:val="left" w:pos="709"/>
          <w:tab w:val="left" w:pos="1418"/>
          <w:tab w:val="left" w:pos="2127"/>
          <w:tab w:val="left" w:pos="2835"/>
        </w:tabs>
        <w:jc w:val="both"/>
        <w:rPr>
          <w:rFonts w:ascii="Calibri" w:hAnsi="Calibri" w:cs="Calibri"/>
          <w:b/>
          <w:bCs/>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bCs/>
          <w:sz w:val="24"/>
          <w:szCs w:val="22"/>
        </w:rPr>
        <w:t>Art. 2</w:t>
      </w:r>
      <w:proofErr w:type="gramStart"/>
      <w:r w:rsidRPr="00B154DD">
        <w:rPr>
          <w:rFonts w:ascii="Calibri" w:hAnsi="Calibri" w:cs="Calibri"/>
          <w:bCs/>
          <w:sz w:val="24"/>
          <w:szCs w:val="22"/>
        </w:rPr>
        <w:t xml:space="preserve">º </w:t>
      </w:r>
      <w:r>
        <w:rPr>
          <w:rFonts w:ascii="Calibri" w:hAnsi="Calibri" w:cs="Calibri"/>
          <w:bCs/>
          <w:sz w:val="24"/>
          <w:szCs w:val="22"/>
        </w:rPr>
        <w:t xml:space="preserve"> </w:t>
      </w:r>
      <w:r w:rsidRPr="00B154DD">
        <w:rPr>
          <w:rFonts w:ascii="Calibri" w:hAnsi="Calibri" w:cs="Calibri"/>
          <w:sz w:val="24"/>
          <w:szCs w:val="22"/>
        </w:rPr>
        <w:t>Fica</w:t>
      </w:r>
      <w:proofErr w:type="gramEnd"/>
      <w:r w:rsidRPr="00B154DD">
        <w:rPr>
          <w:rFonts w:ascii="Calibri" w:hAnsi="Calibri" w:cs="Calibri"/>
          <w:sz w:val="24"/>
          <w:szCs w:val="22"/>
        </w:rPr>
        <w:t xml:space="preserve"> o Poder Executivo autorizado a conceder no corrente exercício, Auxílio às Entidades de Assistência Social, no valor de R$ 26.932,23 (vinte e seis mil, novecentos e vinte e três reais e vinte e três centavos), destinados à aquisição de equipamentos, conforme demonstrativo abaixo: </w:t>
      </w: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p>
    <w:tbl>
      <w:tblPr>
        <w:tblW w:w="8946" w:type="dxa"/>
        <w:tblInd w:w="55" w:type="dxa"/>
        <w:tblCellMar>
          <w:left w:w="70" w:type="dxa"/>
          <w:right w:w="70" w:type="dxa"/>
        </w:tblCellMar>
        <w:tblLook w:val="04A0" w:firstRow="1" w:lastRow="0" w:firstColumn="1" w:lastColumn="0" w:noHBand="0" w:noVBand="1"/>
      </w:tblPr>
      <w:tblGrid>
        <w:gridCol w:w="5260"/>
        <w:gridCol w:w="2220"/>
        <w:gridCol w:w="1466"/>
      </w:tblGrid>
      <w:tr w:rsidR="00B154DD" w:rsidRPr="00B154DD" w:rsidTr="00A04C25">
        <w:trPr>
          <w:trHeight w:val="300"/>
        </w:trPr>
        <w:tc>
          <w:tcPr>
            <w:tcW w:w="5260" w:type="dxa"/>
            <w:tcBorders>
              <w:top w:val="single" w:sz="4" w:space="0" w:color="auto"/>
              <w:left w:val="single" w:sz="4" w:space="0" w:color="auto"/>
              <w:bottom w:val="single" w:sz="4" w:space="0" w:color="auto"/>
              <w:right w:val="single" w:sz="4" w:space="0" w:color="auto"/>
            </w:tcBorders>
            <w:noWrap/>
            <w:vAlign w:val="bottom"/>
            <w:hideMark/>
          </w:tcPr>
          <w:p w:rsidR="00B154DD" w:rsidRPr="00B154DD" w:rsidRDefault="00B154DD" w:rsidP="00B154DD">
            <w:pPr>
              <w:tabs>
                <w:tab w:val="left" w:pos="709"/>
                <w:tab w:val="left" w:pos="1418"/>
                <w:tab w:val="left" w:pos="2127"/>
                <w:tab w:val="left" w:pos="2835"/>
              </w:tabs>
              <w:jc w:val="both"/>
              <w:rPr>
                <w:rFonts w:ascii="Calibri" w:hAnsi="Calibri" w:cs="Calibri"/>
                <w:b/>
                <w:sz w:val="24"/>
                <w:szCs w:val="22"/>
              </w:rPr>
            </w:pPr>
            <w:r w:rsidRPr="00B154DD">
              <w:rPr>
                <w:rFonts w:ascii="Calibri" w:hAnsi="Calibri" w:cs="Calibri"/>
                <w:b/>
                <w:sz w:val="24"/>
                <w:szCs w:val="22"/>
              </w:rPr>
              <w:t>Entidade</w:t>
            </w:r>
          </w:p>
        </w:tc>
        <w:tc>
          <w:tcPr>
            <w:tcW w:w="2220" w:type="dxa"/>
            <w:tcBorders>
              <w:top w:val="single" w:sz="4" w:space="0" w:color="auto"/>
              <w:left w:val="nil"/>
              <w:bottom w:val="single" w:sz="4" w:space="0" w:color="auto"/>
              <w:right w:val="single" w:sz="4" w:space="0" w:color="auto"/>
            </w:tcBorders>
            <w:noWrap/>
            <w:vAlign w:val="bottom"/>
            <w:hideMark/>
          </w:tcPr>
          <w:p w:rsidR="00B154DD" w:rsidRPr="00B154DD" w:rsidRDefault="00B154DD" w:rsidP="00B154DD">
            <w:pPr>
              <w:tabs>
                <w:tab w:val="left" w:pos="709"/>
                <w:tab w:val="left" w:pos="1418"/>
                <w:tab w:val="left" w:pos="2127"/>
                <w:tab w:val="left" w:pos="2835"/>
              </w:tabs>
              <w:jc w:val="both"/>
              <w:rPr>
                <w:rFonts w:ascii="Calibri" w:hAnsi="Calibri" w:cs="Calibri"/>
                <w:b/>
                <w:sz w:val="24"/>
                <w:szCs w:val="22"/>
              </w:rPr>
            </w:pPr>
            <w:r w:rsidRPr="00B154DD">
              <w:rPr>
                <w:rFonts w:ascii="Calibri" w:hAnsi="Calibri" w:cs="Calibri"/>
                <w:b/>
                <w:sz w:val="24"/>
                <w:szCs w:val="22"/>
              </w:rPr>
              <w:t>CNPJ</w:t>
            </w:r>
          </w:p>
        </w:tc>
        <w:tc>
          <w:tcPr>
            <w:tcW w:w="1466" w:type="dxa"/>
            <w:tcBorders>
              <w:top w:val="single" w:sz="4" w:space="0" w:color="auto"/>
              <w:left w:val="nil"/>
              <w:bottom w:val="single" w:sz="4" w:space="0" w:color="auto"/>
              <w:right w:val="single" w:sz="4" w:space="0" w:color="auto"/>
            </w:tcBorders>
            <w:noWrap/>
            <w:vAlign w:val="bottom"/>
            <w:hideMark/>
          </w:tcPr>
          <w:p w:rsidR="00B154DD" w:rsidRPr="00B154DD" w:rsidRDefault="00B154DD" w:rsidP="00B154DD">
            <w:pPr>
              <w:tabs>
                <w:tab w:val="left" w:pos="709"/>
                <w:tab w:val="left" w:pos="1418"/>
                <w:tab w:val="left" w:pos="2127"/>
                <w:tab w:val="left" w:pos="2835"/>
              </w:tabs>
              <w:jc w:val="both"/>
              <w:rPr>
                <w:rFonts w:ascii="Calibri" w:hAnsi="Calibri" w:cs="Calibri"/>
                <w:b/>
                <w:sz w:val="24"/>
                <w:szCs w:val="22"/>
              </w:rPr>
            </w:pPr>
            <w:r w:rsidRPr="00B154DD">
              <w:rPr>
                <w:rFonts w:ascii="Calibri" w:hAnsi="Calibri" w:cs="Calibri"/>
                <w:b/>
                <w:sz w:val="24"/>
                <w:szCs w:val="22"/>
              </w:rPr>
              <w:t>Valor</w:t>
            </w:r>
          </w:p>
        </w:tc>
      </w:tr>
      <w:tr w:rsidR="00B154DD" w:rsidRPr="00B154DD" w:rsidTr="00A04C25">
        <w:trPr>
          <w:trHeight w:val="300"/>
        </w:trPr>
        <w:tc>
          <w:tcPr>
            <w:tcW w:w="5260" w:type="dxa"/>
            <w:tcBorders>
              <w:top w:val="nil"/>
              <w:left w:val="single" w:sz="4" w:space="0" w:color="auto"/>
              <w:bottom w:val="single" w:sz="4" w:space="0" w:color="auto"/>
              <w:right w:val="single" w:sz="4" w:space="0" w:color="auto"/>
            </w:tcBorders>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Centro Comunitário Nossa Senhora do Carmo</w:t>
            </w:r>
          </w:p>
        </w:tc>
        <w:tc>
          <w:tcPr>
            <w:tcW w:w="2220" w:type="dxa"/>
            <w:tcBorders>
              <w:top w:val="nil"/>
              <w:left w:val="nil"/>
              <w:bottom w:val="single" w:sz="4" w:space="0" w:color="auto"/>
              <w:right w:val="single" w:sz="4" w:space="0" w:color="auto"/>
            </w:tcBorders>
            <w:noWrap/>
            <w:vAlign w:val="center"/>
            <w:hideMark/>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43.977.073/0001-40</w:t>
            </w:r>
          </w:p>
        </w:tc>
        <w:tc>
          <w:tcPr>
            <w:tcW w:w="1466" w:type="dxa"/>
            <w:tcBorders>
              <w:top w:val="nil"/>
              <w:left w:val="nil"/>
              <w:bottom w:val="single" w:sz="4" w:space="0" w:color="auto"/>
              <w:right w:val="single" w:sz="4" w:space="0" w:color="auto"/>
            </w:tcBorders>
            <w:noWrap/>
            <w:vAlign w:val="center"/>
          </w:tcPr>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r w:rsidRPr="00B154DD">
              <w:rPr>
                <w:rFonts w:ascii="Calibri" w:hAnsi="Calibri" w:cs="Calibri"/>
                <w:sz w:val="24"/>
                <w:szCs w:val="22"/>
              </w:rPr>
              <w:t>26.932,23</w:t>
            </w:r>
          </w:p>
        </w:tc>
      </w:tr>
    </w:tbl>
    <w:p w:rsidR="00B154DD" w:rsidRPr="00B154DD" w:rsidRDefault="00B154DD" w:rsidP="00B154DD">
      <w:pPr>
        <w:tabs>
          <w:tab w:val="left" w:pos="709"/>
          <w:tab w:val="left" w:pos="1418"/>
          <w:tab w:val="left" w:pos="2127"/>
          <w:tab w:val="left" w:pos="2835"/>
        </w:tabs>
        <w:jc w:val="both"/>
        <w:rPr>
          <w:rFonts w:ascii="Calibri" w:hAnsi="Calibri" w:cs="Calibri"/>
          <w:sz w:val="24"/>
          <w:szCs w:val="22"/>
        </w:rPr>
      </w:pP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bCs/>
          <w:sz w:val="24"/>
          <w:szCs w:val="22"/>
        </w:rPr>
        <w:t>Art. 3</w:t>
      </w:r>
      <w:proofErr w:type="gramStart"/>
      <w:r w:rsidRPr="00B154DD">
        <w:rPr>
          <w:rFonts w:ascii="Calibri" w:hAnsi="Calibri" w:cs="Calibri"/>
          <w:bCs/>
          <w:sz w:val="24"/>
          <w:szCs w:val="22"/>
        </w:rPr>
        <w:t>º</w:t>
      </w:r>
      <w:r>
        <w:rPr>
          <w:rFonts w:ascii="Calibri" w:hAnsi="Calibri" w:cs="Calibri"/>
          <w:bCs/>
          <w:sz w:val="24"/>
          <w:szCs w:val="22"/>
        </w:rPr>
        <w:t xml:space="preserve"> </w:t>
      </w:r>
      <w:r w:rsidRPr="00B154DD">
        <w:rPr>
          <w:rFonts w:ascii="Calibri" w:hAnsi="Calibri" w:cs="Calibri"/>
          <w:sz w:val="24"/>
          <w:szCs w:val="22"/>
        </w:rPr>
        <w:t xml:space="preserve"> Os</w:t>
      </w:r>
      <w:proofErr w:type="gramEnd"/>
      <w:r w:rsidRPr="00B154DD">
        <w:rPr>
          <w:rFonts w:ascii="Calibri" w:hAnsi="Calibri" w:cs="Calibri"/>
          <w:sz w:val="24"/>
          <w:szCs w:val="22"/>
        </w:rPr>
        <w:t xml:space="preserve"> recursos financeiros que garantirá a concessão de Subvenções Sociais e Auxílio, referido no art. 1º e 2º desta Lei,  serão oriundos da destinação do Imposto de Renda, através de Lei de Incentivos Fiscais, realizadas por pessoas jurídicas e físicas ao Fundo Municipal dos Direitos da Criança e do Adolescente de Araraquara.</w:t>
      </w: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ab/>
      </w: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Art. 4</w:t>
      </w:r>
      <w:proofErr w:type="gramStart"/>
      <w:r w:rsidRPr="00B154DD">
        <w:rPr>
          <w:rFonts w:ascii="Calibri" w:hAnsi="Calibri" w:cs="Calibri"/>
          <w:sz w:val="24"/>
          <w:szCs w:val="22"/>
        </w:rPr>
        <w:t>º</w:t>
      </w:r>
      <w:r>
        <w:rPr>
          <w:rFonts w:ascii="Calibri" w:hAnsi="Calibri" w:cs="Calibri"/>
          <w:sz w:val="24"/>
          <w:szCs w:val="22"/>
        </w:rPr>
        <w:t xml:space="preserve"> </w:t>
      </w:r>
      <w:r w:rsidRPr="00B154DD">
        <w:rPr>
          <w:rFonts w:ascii="Calibri" w:hAnsi="Calibri" w:cs="Calibri"/>
          <w:sz w:val="24"/>
          <w:szCs w:val="22"/>
        </w:rPr>
        <w:t xml:space="preserve"> As</w:t>
      </w:r>
      <w:proofErr w:type="gramEnd"/>
      <w:r w:rsidRPr="00B154DD">
        <w:rPr>
          <w:rFonts w:ascii="Calibri" w:hAnsi="Calibri" w:cs="Calibri"/>
          <w:sz w:val="24"/>
          <w:szCs w:val="22"/>
        </w:rPr>
        <w:t xml:space="preserve"> entidades beneficiadas obrigam-se a utilizar dos recursos, exclusivamente conforme Plano de Trabalho, previamente aprovado pelo Conselho Municipal da Criança e do Adolescente de Araraquara.</w:t>
      </w: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Parágrafo único. Caso os recursos sejam utilizados em desacordo, poderão ser aplicadas as sanções descritas no Art. 73 da Lei Federal nº 13.019, de 31 de julho de 2014.</w:t>
      </w: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Art. 5</w:t>
      </w:r>
      <w:proofErr w:type="gramStart"/>
      <w:r w:rsidRPr="00B154DD">
        <w:rPr>
          <w:rFonts w:ascii="Calibri" w:hAnsi="Calibri" w:cs="Calibri"/>
          <w:sz w:val="24"/>
          <w:szCs w:val="22"/>
        </w:rPr>
        <w:t xml:space="preserve">º </w:t>
      </w:r>
      <w:r>
        <w:rPr>
          <w:rFonts w:ascii="Calibri" w:hAnsi="Calibri" w:cs="Calibri"/>
          <w:sz w:val="24"/>
          <w:szCs w:val="22"/>
        </w:rPr>
        <w:t xml:space="preserve"> </w:t>
      </w:r>
      <w:r w:rsidRPr="00B154DD">
        <w:rPr>
          <w:rFonts w:ascii="Calibri" w:hAnsi="Calibri" w:cs="Calibri"/>
          <w:sz w:val="24"/>
          <w:szCs w:val="22"/>
        </w:rPr>
        <w:t>O</w:t>
      </w:r>
      <w:proofErr w:type="gramEnd"/>
      <w:r w:rsidRPr="00B154DD">
        <w:rPr>
          <w:rFonts w:ascii="Calibri" w:hAnsi="Calibri" w:cs="Calibri"/>
          <w:sz w:val="24"/>
          <w:szCs w:val="22"/>
        </w:rPr>
        <w:t xml:space="preserve"> recurso orçamentário que garantirá a Concessão de Subvenções Sociais e Auxílio, referido no art. 1º e 2º desta Lei, serão oriundos do Poder Executivo através do Fundo Municipal para a Infância e Juventude/ Conselho Municipal da Criança e do Adolescente de Araraquara, consoante o orçamento vigente, dotação 253 – 18.01.335043.08.243.057.2.064 e 254 – 18.01.445042.08.243.057.2.064.</w:t>
      </w: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Art. 6</w:t>
      </w:r>
      <w:proofErr w:type="gramStart"/>
      <w:r w:rsidRPr="00B154DD">
        <w:rPr>
          <w:rFonts w:ascii="Calibri" w:hAnsi="Calibri" w:cs="Calibri"/>
          <w:sz w:val="24"/>
          <w:szCs w:val="22"/>
        </w:rPr>
        <w:t xml:space="preserve">º </w:t>
      </w:r>
      <w:r>
        <w:rPr>
          <w:rFonts w:ascii="Calibri" w:hAnsi="Calibri" w:cs="Calibri"/>
          <w:sz w:val="24"/>
          <w:szCs w:val="22"/>
        </w:rPr>
        <w:t xml:space="preserve"> </w:t>
      </w:r>
      <w:r w:rsidRPr="00B154DD">
        <w:rPr>
          <w:rFonts w:ascii="Calibri" w:hAnsi="Calibri" w:cs="Calibri"/>
          <w:sz w:val="24"/>
          <w:szCs w:val="22"/>
        </w:rPr>
        <w:t>A</w:t>
      </w:r>
      <w:proofErr w:type="gramEnd"/>
      <w:r w:rsidRPr="00B154DD">
        <w:rPr>
          <w:rFonts w:ascii="Calibri" w:hAnsi="Calibri" w:cs="Calibri"/>
          <w:sz w:val="24"/>
          <w:szCs w:val="22"/>
        </w:rPr>
        <w:t xml:space="preserve"> utilização dos recursos financeiros, a entrega e processo de prestação de contas pelas Entidades, deverão atender as normas instituídas pela Lei Federal nº 13.019, de 31 de julho de 2014, Decreto Municipal nº 11.434, de 18 de julho de 2017 e o Termo de Colaboração que será celebrado com as Entidades beneficiadas.</w:t>
      </w: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 xml:space="preserve">§ 1º O não cumprimento dos prazos que serão </w:t>
      </w:r>
      <w:proofErr w:type="gramStart"/>
      <w:r w:rsidRPr="00B154DD">
        <w:rPr>
          <w:rFonts w:ascii="Calibri" w:hAnsi="Calibri" w:cs="Calibri"/>
          <w:sz w:val="24"/>
          <w:szCs w:val="22"/>
        </w:rPr>
        <w:t>estabelecidos,  acarretará</w:t>
      </w:r>
      <w:proofErr w:type="gramEnd"/>
      <w:r w:rsidRPr="00B154DD">
        <w:rPr>
          <w:rFonts w:ascii="Calibri" w:hAnsi="Calibri" w:cs="Calibri"/>
          <w:sz w:val="24"/>
          <w:szCs w:val="22"/>
        </w:rPr>
        <w:t xml:space="preserve"> em sanções à entidade conforme os dispositivos legais.</w:t>
      </w: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 2º Caso haja qualquer aditamento ou supressão das normas instituídas acima citadas, assim como sua substituição, estarão em voga as normas indicadas pela versão mais recente das mesmas.</w:t>
      </w:r>
    </w:p>
    <w:p w:rsidR="00B154DD" w:rsidRDefault="00B154DD" w:rsidP="00B154DD">
      <w:pPr>
        <w:tabs>
          <w:tab w:val="left" w:pos="709"/>
          <w:tab w:val="left" w:pos="1418"/>
          <w:tab w:val="left" w:pos="2127"/>
          <w:tab w:val="left" w:pos="2835"/>
        </w:tabs>
        <w:ind w:firstLine="1418"/>
        <w:jc w:val="both"/>
        <w:rPr>
          <w:rFonts w:ascii="Calibri" w:hAnsi="Calibri" w:cs="Calibri"/>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sz w:val="24"/>
          <w:szCs w:val="22"/>
        </w:rPr>
        <w:t>§ 3º Caso exista saldo não utilizado o mesmo deverá ser restituído à Prefeitura do Município de Araraquara, Banco do Brasil S/A, agência 0082-5, conta corrente 83.731-8 (Fundo Municipal dos Direitos da Criança e do Adolescente de Araraquara - Conselho Municipal da Criança e do Adolescente de Araraquara) com identificação do CNPJ da entidade depositante.</w:t>
      </w:r>
    </w:p>
    <w:p w:rsidR="00B154DD" w:rsidRDefault="00B154DD" w:rsidP="00B154DD">
      <w:pPr>
        <w:tabs>
          <w:tab w:val="left" w:pos="709"/>
          <w:tab w:val="left" w:pos="1418"/>
          <w:tab w:val="left" w:pos="2127"/>
          <w:tab w:val="left" w:pos="2835"/>
        </w:tabs>
        <w:ind w:firstLine="1418"/>
        <w:jc w:val="both"/>
        <w:rPr>
          <w:rFonts w:ascii="Calibri" w:hAnsi="Calibri" w:cs="Calibri"/>
          <w:bCs/>
          <w:sz w:val="24"/>
          <w:szCs w:val="22"/>
        </w:rPr>
      </w:pPr>
    </w:p>
    <w:p w:rsidR="00B154DD" w:rsidRPr="00B154DD" w:rsidRDefault="00B154DD" w:rsidP="00B154DD">
      <w:pPr>
        <w:tabs>
          <w:tab w:val="left" w:pos="709"/>
          <w:tab w:val="left" w:pos="1418"/>
          <w:tab w:val="left" w:pos="2127"/>
          <w:tab w:val="left" w:pos="2835"/>
        </w:tabs>
        <w:ind w:firstLine="1418"/>
        <w:jc w:val="both"/>
        <w:rPr>
          <w:rFonts w:ascii="Calibri" w:hAnsi="Calibri" w:cs="Calibri"/>
          <w:sz w:val="24"/>
          <w:szCs w:val="22"/>
        </w:rPr>
      </w:pPr>
      <w:r w:rsidRPr="00B154DD">
        <w:rPr>
          <w:rFonts w:ascii="Calibri" w:hAnsi="Calibri" w:cs="Calibri"/>
          <w:bCs/>
          <w:sz w:val="24"/>
          <w:szCs w:val="22"/>
        </w:rPr>
        <w:t>Art. 7</w:t>
      </w:r>
      <w:proofErr w:type="gramStart"/>
      <w:r w:rsidRPr="00B154DD">
        <w:rPr>
          <w:rFonts w:ascii="Calibri" w:hAnsi="Calibri" w:cs="Calibri"/>
          <w:bCs/>
          <w:sz w:val="24"/>
          <w:szCs w:val="22"/>
        </w:rPr>
        <w:t>º</w:t>
      </w:r>
      <w:r w:rsidRPr="00B154DD">
        <w:rPr>
          <w:rFonts w:ascii="Calibri" w:hAnsi="Calibri" w:cs="Calibri"/>
          <w:sz w:val="24"/>
          <w:szCs w:val="22"/>
        </w:rPr>
        <w:t xml:space="preserve"> </w:t>
      </w:r>
      <w:r>
        <w:rPr>
          <w:rFonts w:ascii="Calibri" w:hAnsi="Calibri" w:cs="Calibri"/>
          <w:sz w:val="24"/>
          <w:szCs w:val="22"/>
        </w:rPr>
        <w:t xml:space="preserve"> </w:t>
      </w:r>
      <w:r w:rsidRPr="00B154DD">
        <w:rPr>
          <w:rFonts w:ascii="Calibri" w:hAnsi="Calibri" w:cs="Calibri"/>
          <w:sz w:val="24"/>
          <w:szCs w:val="22"/>
        </w:rPr>
        <w:t>Esta</w:t>
      </w:r>
      <w:proofErr w:type="gramEnd"/>
      <w:r w:rsidRPr="00B154DD">
        <w:rPr>
          <w:rFonts w:ascii="Calibri" w:hAnsi="Calibri" w:cs="Calibri"/>
          <w:sz w:val="24"/>
          <w:szCs w:val="22"/>
        </w:rPr>
        <w:t xml:space="preserve"> Lei entra em vigor na data de sua publicação.</w:t>
      </w:r>
    </w:p>
    <w:p w:rsidR="006D45F8" w:rsidRPr="00646520"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89471C">
        <w:rPr>
          <w:rFonts w:ascii="Calibri" w:hAnsi="Calibri" w:cs="Calibri"/>
          <w:sz w:val="24"/>
          <w:szCs w:val="24"/>
        </w:rPr>
        <w:t>23</w:t>
      </w:r>
      <w:r w:rsidR="001E225D">
        <w:rPr>
          <w:rFonts w:ascii="Calibri" w:hAnsi="Calibri" w:cs="Calibri"/>
          <w:sz w:val="24"/>
          <w:szCs w:val="24"/>
        </w:rPr>
        <w:t xml:space="preserve"> </w:t>
      </w:r>
      <w:r w:rsidR="00C62685">
        <w:rPr>
          <w:rFonts w:ascii="Calibri" w:hAnsi="Calibri" w:cs="Calibri"/>
          <w:sz w:val="24"/>
          <w:szCs w:val="24"/>
        </w:rPr>
        <w:t>(</w:t>
      </w:r>
      <w:r w:rsidR="0089471C">
        <w:rPr>
          <w:rFonts w:ascii="Calibri" w:hAnsi="Calibri" w:cs="Calibri"/>
          <w:sz w:val="24"/>
          <w:szCs w:val="24"/>
        </w:rPr>
        <w:t>vinte e três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89471C">
        <w:rPr>
          <w:rFonts w:ascii="Calibri" w:hAnsi="Calibri" w:cs="Calibri"/>
          <w:sz w:val="24"/>
          <w:szCs w:val="24"/>
        </w:rPr>
        <w:t>janei</w:t>
      </w:r>
      <w:r w:rsidR="004D560E">
        <w:rPr>
          <w:rFonts w:ascii="Calibri" w:hAnsi="Calibri" w:cs="Calibri"/>
          <w:sz w:val="24"/>
          <w:szCs w:val="24"/>
        </w:rPr>
        <w:t>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154DD">
      <w:headerReference w:type="even" r:id="rId7"/>
      <w:footerReference w:type="default" r:id="rId8"/>
      <w:headerReference w:type="first" r:id="rId9"/>
      <w:pgSz w:w="11907" w:h="16840" w:code="9"/>
      <w:pgMar w:top="441"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B154DD">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154D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154D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C0883"/>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154DD"/>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735</Words>
  <Characters>3973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cp:revision>
  <cp:lastPrinted>2018-06-26T22:41:00Z</cp:lastPrinted>
  <dcterms:created xsi:type="dcterms:W3CDTF">2019-01-23T00:56:00Z</dcterms:created>
  <dcterms:modified xsi:type="dcterms:W3CDTF">2019-01-23T00:58:00Z</dcterms:modified>
</cp:coreProperties>
</file>