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1192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190500</wp:posOffset>
            </wp:positionV>
            <wp:extent cx="798195" cy="878205"/>
            <wp:effectExtent l="0" t="0" r="1905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C6953">
        <w:rPr>
          <w:rFonts w:ascii="Tahoma" w:hAnsi="Tahoma" w:cs="Tahoma"/>
          <w:b/>
          <w:sz w:val="32"/>
          <w:szCs w:val="32"/>
          <w:u w:val="single"/>
        </w:rPr>
        <w:t>301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C6953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C6953">
        <w:rPr>
          <w:rFonts w:ascii="Tahoma" w:hAnsi="Tahoma" w:cs="Tahoma"/>
          <w:b/>
          <w:sz w:val="32"/>
          <w:szCs w:val="32"/>
          <w:u w:val="single"/>
        </w:rPr>
        <w:t>027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B0B5E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B0B5E">
        <w:rPr>
          <w:rFonts w:ascii="Calibri" w:hAnsi="Calibri" w:cs="Calibri"/>
          <w:sz w:val="22"/>
          <w:szCs w:val="22"/>
        </w:rPr>
        <w:t>Institui o Programa Municipal “Regulariza Araraquara”; dispõe sobre a manutenção de alíquota reduzida de ISSQN e sobre a isenção de IPTU aos contribuintes que especifica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B0B5E" w:rsidRPr="00BB0B5E" w:rsidRDefault="00BB0B5E" w:rsidP="00BB0B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BB0B5E">
        <w:rPr>
          <w:rFonts w:ascii="Calibri" w:hAnsi="Calibri" w:cs="Calibri"/>
          <w:b/>
          <w:sz w:val="24"/>
          <w:szCs w:val="22"/>
        </w:rPr>
        <w:t>SEÇÃO I</w:t>
      </w:r>
    </w:p>
    <w:p w:rsidR="00BB0B5E" w:rsidRPr="00BB0B5E" w:rsidRDefault="00BB0B5E" w:rsidP="00BB0B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BB0B5E">
        <w:rPr>
          <w:rFonts w:ascii="Calibri" w:hAnsi="Calibri" w:cs="Calibri"/>
          <w:b/>
          <w:sz w:val="24"/>
          <w:szCs w:val="22"/>
        </w:rPr>
        <w:t>DO PROGRAMA MUNICIPAL “REGULARIZA ARARAQUARA”</w:t>
      </w:r>
    </w:p>
    <w:p w:rsidR="00BB0B5E" w:rsidRDefault="00BB0B5E" w:rsidP="008D14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B0B5E" w:rsidRPr="00BB0B5E" w:rsidRDefault="00BB0B5E" w:rsidP="00BB0B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B0B5E">
        <w:rPr>
          <w:rFonts w:ascii="Calibri" w:hAnsi="Calibri" w:cs="Calibri"/>
          <w:sz w:val="24"/>
          <w:szCs w:val="22"/>
        </w:rPr>
        <w:t>Art. 1º Fica instituído o Programa Municipal “Regulariza Araraquara”, destinado à regularização fiscal dos créditos tributários e não tributários relativos aos lançamentos decorrentes do processo de recadastramento imobiliário realizado pelo Município de Araraquara em 2018 (dois mil e dezoito).</w:t>
      </w:r>
    </w:p>
    <w:p w:rsidR="00BB0B5E" w:rsidRDefault="00BB0B5E" w:rsidP="00BB0B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B0B5E" w:rsidRPr="00BB0B5E" w:rsidRDefault="00BB0B5E" w:rsidP="00BB0B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B0B5E">
        <w:rPr>
          <w:rFonts w:ascii="Calibri" w:hAnsi="Calibri" w:cs="Calibri"/>
          <w:sz w:val="24"/>
          <w:szCs w:val="22"/>
        </w:rPr>
        <w:t>Art. 2º São instrumentos do Programa Municipal “Regulariza Araraquara”:</w:t>
      </w:r>
    </w:p>
    <w:p w:rsidR="00BB0B5E" w:rsidRPr="00BB0B5E" w:rsidRDefault="00BB0B5E" w:rsidP="00BB0B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B0B5E">
        <w:rPr>
          <w:rFonts w:ascii="Calibri" w:hAnsi="Calibri" w:cs="Calibri"/>
          <w:sz w:val="24"/>
          <w:szCs w:val="22"/>
        </w:rPr>
        <w:t xml:space="preserve">I – </w:t>
      </w:r>
      <w:proofErr w:type="gramStart"/>
      <w:r w:rsidRPr="00BB0B5E">
        <w:rPr>
          <w:rFonts w:ascii="Calibri" w:hAnsi="Calibri" w:cs="Calibri"/>
          <w:sz w:val="24"/>
          <w:szCs w:val="22"/>
        </w:rPr>
        <w:t>dilação</w:t>
      </w:r>
      <w:proofErr w:type="gramEnd"/>
      <w:r w:rsidRPr="00BB0B5E">
        <w:rPr>
          <w:rFonts w:ascii="Calibri" w:hAnsi="Calibri" w:cs="Calibri"/>
          <w:sz w:val="24"/>
          <w:szCs w:val="22"/>
        </w:rPr>
        <w:t xml:space="preserve"> de prazo originalmente estabelecido para quitação dos débitos até 18 (dezoito) de janeiro de 2019;</w:t>
      </w:r>
    </w:p>
    <w:p w:rsidR="00BB0B5E" w:rsidRPr="00BB0B5E" w:rsidRDefault="00BB0B5E" w:rsidP="00BB0B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B0B5E">
        <w:rPr>
          <w:rFonts w:ascii="Calibri" w:hAnsi="Calibri" w:cs="Calibri"/>
          <w:sz w:val="24"/>
          <w:szCs w:val="22"/>
        </w:rPr>
        <w:t xml:space="preserve">II – </w:t>
      </w:r>
      <w:proofErr w:type="gramStart"/>
      <w:r w:rsidRPr="00BB0B5E">
        <w:rPr>
          <w:rFonts w:ascii="Calibri" w:hAnsi="Calibri" w:cs="Calibri"/>
          <w:sz w:val="24"/>
          <w:szCs w:val="22"/>
        </w:rPr>
        <w:t>dilação</w:t>
      </w:r>
      <w:proofErr w:type="gramEnd"/>
      <w:r w:rsidRPr="00BB0B5E">
        <w:rPr>
          <w:rFonts w:ascii="Calibri" w:hAnsi="Calibri" w:cs="Calibri"/>
          <w:sz w:val="24"/>
          <w:szCs w:val="22"/>
        </w:rPr>
        <w:t xml:space="preserve"> do prazo de protocolo de recurso administrativo contra o lançamento do tributo, com efeito suspensivo, até 18 (dezoito) de janeiro de 2019;</w:t>
      </w:r>
    </w:p>
    <w:p w:rsidR="00BB0B5E" w:rsidRPr="00BB0B5E" w:rsidRDefault="00BB0B5E" w:rsidP="00BB0B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B0B5E">
        <w:rPr>
          <w:rFonts w:ascii="Calibri" w:hAnsi="Calibri" w:cs="Calibri"/>
          <w:sz w:val="24"/>
          <w:szCs w:val="22"/>
        </w:rPr>
        <w:t>III – parcelamento dos débitos tributários e não tributários relativos aos lançamentos decorrentes do processo de recadastramento imobiliário realizado pelo Município de Araraquara em 2018 (dois mil e dezoito) em até 60 (sessenta) parcelas mensais e consecutivas, sem juros, com parcela mínima correspondente a vinte e cinco centésimos da UFM vigente à época da entrada em vigor desta Lei Complementar.</w:t>
      </w:r>
    </w:p>
    <w:p w:rsidR="00BB0B5E" w:rsidRDefault="00BB0B5E" w:rsidP="00BB0B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D14A7" w:rsidRDefault="00BB0B5E" w:rsidP="00BB0B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B0B5E">
        <w:rPr>
          <w:rFonts w:ascii="Calibri" w:hAnsi="Calibri" w:cs="Calibri"/>
          <w:sz w:val="24"/>
          <w:szCs w:val="22"/>
        </w:rPr>
        <w:t>Parágrafo único. O parcelamento referido no inciso III deste Artigo observará as regras vigentes sobre parcelamentos de créditos de natureza tributária e não tributária, sobretudo no que diz respeito às formalidades de adesão e às condições de permanência no parcelamento.</w:t>
      </w:r>
    </w:p>
    <w:p w:rsidR="00BB0B5E" w:rsidRDefault="00BB0B5E" w:rsidP="00BB0B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B0B5E" w:rsidRPr="00BB0B5E" w:rsidRDefault="00BB0B5E" w:rsidP="00BB0B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BB0B5E">
        <w:rPr>
          <w:rFonts w:ascii="Calibri" w:hAnsi="Calibri" w:cs="Calibri"/>
          <w:b/>
          <w:sz w:val="24"/>
          <w:szCs w:val="22"/>
        </w:rPr>
        <w:t>SEÇÃO II</w:t>
      </w:r>
    </w:p>
    <w:p w:rsidR="00BB0B5E" w:rsidRDefault="00BB0B5E" w:rsidP="00BB0B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BB0B5E">
        <w:rPr>
          <w:rFonts w:ascii="Calibri" w:hAnsi="Calibri" w:cs="Calibri"/>
          <w:b/>
          <w:sz w:val="24"/>
          <w:szCs w:val="22"/>
        </w:rPr>
        <w:t>DA MANUTENÇÃO DE ALÍQUOTA REDUZIDA DE ISSQN E DA ISENÇÃO DE IPTU</w:t>
      </w:r>
    </w:p>
    <w:p w:rsidR="00BB0B5E" w:rsidRDefault="008D14A7" w:rsidP="008D14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</w:p>
    <w:p w:rsidR="00BB0B5E" w:rsidRPr="00BB0B5E" w:rsidRDefault="008D14A7" w:rsidP="00BB0B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A90F97">
        <w:rPr>
          <w:rFonts w:ascii="Calibri" w:hAnsi="Calibri" w:cs="Calibri"/>
          <w:sz w:val="24"/>
          <w:szCs w:val="22"/>
        </w:rPr>
        <w:tab/>
      </w:r>
      <w:r w:rsidRPr="00A90F97">
        <w:rPr>
          <w:rFonts w:ascii="Calibri" w:hAnsi="Calibri" w:cs="Calibri"/>
          <w:sz w:val="24"/>
          <w:szCs w:val="22"/>
        </w:rPr>
        <w:tab/>
      </w:r>
      <w:r w:rsidR="00BB0B5E" w:rsidRPr="00A90F97">
        <w:rPr>
          <w:rFonts w:ascii="Calibri" w:hAnsi="Calibri" w:cs="Calibri"/>
          <w:sz w:val="24"/>
          <w:szCs w:val="22"/>
        </w:rPr>
        <w:t>Art. 3º</w:t>
      </w:r>
      <w:r w:rsidR="00BB0B5E" w:rsidRPr="00BB0B5E">
        <w:rPr>
          <w:rFonts w:ascii="Calibri" w:hAnsi="Calibri" w:cs="Calibri"/>
          <w:sz w:val="24"/>
          <w:szCs w:val="22"/>
        </w:rPr>
        <w:t xml:space="preserve"> O Art. 2º da Lei Complementar nº 842, de 01º de outubro de 2013, passa a vigorar com a seguinte redação:</w:t>
      </w:r>
    </w:p>
    <w:p w:rsidR="00A90F97" w:rsidRDefault="00A90F97" w:rsidP="00A90F9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BB0B5E" w:rsidRPr="00BB0B5E" w:rsidRDefault="00BB0B5E" w:rsidP="00A90F9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BB0B5E">
        <w:rPr>
          <w:rFonts w:ascii="Calibri" w:hAnsi="Calibri" w:cs="Calibri"/>
          <w:sz w:val="24"/>
          <w:szCs w:val="22"/>
        </w:rPr>
        <w:t xml:space="preserve">“Art. 2º O benefício fiscal previsto nesta Lei Complementar será concedido pelo prazo de 05 (cinco) anos, admitida prorrogação através de requerimento do beneficiário, de modo que não seja superior a 15 (quinze) anos </w:t>
      </w:r>
      <w:proofErr w:type="gramStart"/>
      <w:r w:rsidRPr="00BB0B5E">
        <w:rPr>
          <w:rFonts w:ascii="Calibri" w:hAnsi="Calibri" w:cs="Calibri"/>
          <w:sz w:val="24"/>
          <w:szCs w:val="22"/>
        </w:rPr>
        <w:t>consecutivos.”</w:t>
      </w:r>
      <w:proofErr w:type="gramEnd"/>
      <w:r w:rsidRPr="00BB0B5E">
        <w:rPr>
          <w:rFonts w:ascii="Calibri" w:hAnsi="Calibri" w:cs="Calibri"/>
          <w:sz w:val="24"/>
          <w:szCs w:val="22"/>
        </w:rPr>
        <w:t xml:space="preserve"> (NR)</w:t>
      </w:r>
    </w:p>
    <w:p w:rsidR="00BB0B5E" w:rsidRDefault="00A90F97" w:rsidP="00BB0B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BB0B5E" w:rsidRPr="00A90F97">
        <w:rPr>
          <w:rFonts w:ascii="Calibri" w:hAnsi="Calibri" w:cs="Calibri"/>
          <w:sz w:val="24"/>
          <w:szCs w:val="22"/>
        </w:rPr>
        <w:t>Art. 4º Ficam i</w:t>
      </w:r>
      <w:r w:rsidR="00BB0B5E" w:rsidRPr="00BB0B5E">
        <w:rPr>
          <w:rFonts w:ascii="Calibri" w:hAnsi="Calibri" w:cs="Calibri"/>
          <w:sz w:val="24"/>
          <w:szCs w:val="22"/>
        </w:rPr>
        <w:t>sentos do Imposto sobre a Propriedade Predial e Territorial Urbano – IPTU os imóveis de propriedade das empresas ANDRITZ HYDRO INEPAR DO BRASIL S/A, inscrita no CNPJ nº 02.216.876/0001-03, e IESA PROJETOS, EQUIPAMENTOS E MONTAGENS S/A, inscrita no CNPJ nº 29.918.943/0001-80, a seguir relacionados:</w:t>
      </w:r>
    </w:p>
    <w:p w:rsidR="00A90F97" w:rsidRPr="00BB0B5E" w:rsidRDefault="00A90F97" w:rsidP="00BB0B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BB0B5E" w:rsidRPr="00BB0B5E" w:rsidTr="00A90F97">
        <w:trPr>
          <w:trHeight w:val="630"/>
          <w:jc w:val="center"/>
        </w:trPr>
        <w:tc>
          <w:tcPr>
            <w:tcW w:w="8359" w:type="dxa"/>
            <w:gridSpan w:val="2"/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b/>
                <w:bCs/>
                <w:sz w:val="24"/>
                <w:szCs w:val="22"/>
              </w:rPr>
              <w:t>RELAÇÃO DE MATRICULAS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b/>
                <w:bCs/>
                <w:sz w:val="24"/>
                <w:szCs w:val="22"/>
              </w:rPr>
              <w:t>MATRÍCULA DO 1º C.R.I.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b/>
                <w:bCs/>
                <w:sz w:val="24"/>
                <w:szCs w:val="22"/>
              </w:rPr>
              <w:t>EMPRESA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143.010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143.011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143.012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143.013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143.014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143.015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143.016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143.017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143.018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143.019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143.020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143.021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143.022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143.023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143.024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143.025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143.026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143.027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143.028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143.029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143.030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143.031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143.032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143.033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143.034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143.035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143.036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143.037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143.038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143.039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143.040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143.041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143.042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143.043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143.044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143.045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143.046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143.047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143.048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lastRenderedPageBreak/>
              <w:t>143.049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143.050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143.051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143.052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143.053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143.054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143.055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143.056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143.057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143.058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143.059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143.060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143.061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143.062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143.063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143.064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143.065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143.066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143.067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143.068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143.069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143.070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143.071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143.072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143.073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143.074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143.075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143.076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IESA PROJETOS, EQUIPAMENTOS E MONTAGENS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143.077</w:t>
            </w:r>
          </w:p>
        </w:tc>
        <w:tc>
          <w:tcPr>
            <w:tcW w:w="5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  <w:tr w:rsidR="00BB0B5E" w:rsidRPr="00BB0B5E" w:rsidTr="00A90F97">
        <w:trPr>
          <w:trHeight w:val="300"/>
          <w:jc w:val="center"/>
        </w:trPr>
        <w:tc>
          <w:tcPr>
            <w:tcW w:w="28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A90F9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143.078</w:t>
            </w:r>
          </w:p>
        </w:tc>
        <w:tc>
          <w:tcPr>
            <w:tcW w:w="5529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B5E" w:rsidRPr="00BB0B5E" w:rsidRDefault="00BB0B5E" w:rsidP="00BB0B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B0B5E">
              <w:rPr>
                <w:rFonts w:ascii="Calibri" w:hAnsi="Calibri" w:cs="Calibri"/>
                <w:sz w:val="24"/>
                <w:szCs w:val="22"/>
              </w:rPr>
              <w:t>ANDRITZ HYDRO INEPAR DO BRASIL S/A</w:t>
            </w:r>
          </w:p>
        </w:tc>
      </w:tr>
    </w:tbl>
    <w:p w:rsidR="00BB0B5E" w:rsidRPr="00BB0B5E" w:rsidRDefault="00BB0B5E" w:rsidP="00BB0B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BB0B5E">
        <w:rPr>
          <w:rFonts w:ascii="Calibri" w:hAnsi="Calibri" w:cs="Calibri"/>
          <w:sz w:val="24"/>
          <w:szCs w:val="22"/>
        </w:rPr>
        <w:t> </w:t>
      </w:r>
    </w:p>
    <w:p w:rsidR="00BB0B5E" w:rsidRPr="00BB0B5E" w:rsidRDefault="00BB0B5E" w:rsidP="00BB0B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B0B5E">
        <w:rPr>
          <w:rFonts w:ascii="Calibri" w:hAnsi="Calibri" w:cs="Calibri"/>
          <w:sz w:val="24"/>
          <w:szCs w:val="22"/>
        </w:rPr>
        <w:t>Parágrafo único. O benefício fiscal referido neste Artigo será concedido pelo prazo de 05 (cinco) anos, admitida prorrogação através de requerimento do beneficiário, de modo que não seja superior a 10 (dez) anos consecutivos.</w:t>
      </w:r>
    </w:p>
    <w:p w:rsidR="00A90F97" w:rsidRDefault="00A90F97" w:rsidP="00BB0B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/>
          <w:sz w:val="24"/>
          <w:szCs w:val="22"/>
        </w:rPr>
      </w:pPr>
    </w:p>
    <w:p w:rsidR="00BB0B5E" w:rsidRPr="00A90F97" w:rsidRDefault="00A90F97" w:rsidP="00BB0B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b/>
          <w:sz w:val="24"/>
          <w:szCs w:val="22"/>
        </w:rPr>
        <w:tab/>
      </w:r>
      <w:r>
        <w:rPr>
          <w:rFonts w:ascii="Calibri" w:hAnsi="Calibri" w:cs="Calibri"/>
          <w:b/>
          <w:sz w:val="24"/>
          <w:szCs w:val="22"/>
        </w:rPr>
        <w:tab/>
      </w:r>
      <w:r w:rsidR="00BB0B5E" w:rsidRPr="00A90F97">
        <w:rPr>
          <w:rFonts w:ascii="Calibri" w:hAnsi="Calibri" w:cs="Calibri"/>
          <w:sz w:val="24"/>
          <w:szCs w:val="22"/>
        </w:rPr>
        <w:t>Art. 5º Esta Lei Complementar entra em vigor na data de sua publicação.</w:t>
      </w:r>
    </w:p>
    <w:p w:rsidR="006D45F8" w:rsidRPr="00646520" w:rsidRDefault="001C6D7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4424D">
        <w:rPr>
          <w:rFonts w:ascii="Calibri" w:hAnsi="Calibri" w:cs="Calibri"/>
          <w:sz w:val="24"/>
          <w:szCs w:val="24"/>
        </w:rPr>
        <w:t>18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44424D">
        <w:rPr>
          <w:rFonts w:ascii="Calibri" w:hAnsi="Calibri" w:cs="Calibri"/>
          <w:sz w:val="24"/>
          <w:szCs w:val="24"/>
        </w:rPr>
        <w:t>dezoito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A33F1">
        <w:rPr>
          <w:rFonts w:ascii="Calibri" w:hAnsi="Calibri" w:cs="Calibri"/>
          <w:sz w:val="24"/>
          <w:szCs w:val="24"/>
        </w:rPr>
        <w:t>dez</w:t>
      </w:r>
      <w:r w:rsidR="00E87D2D">
        <w:rPr>
          <w:rFonts w:ascii="Calibri" w:hAnsi="Calibri" w:cs="Calibri"/>
          <w:sz w:val="24"/>
          <w:szCs w:val="24"/>
        </w:rPr>
        <w:t>em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8D14A7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426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90F97">
      <w:rPr>
        <w:noProof/>
        <w:sz w:val="20"/>
      </w:rPr>
      <w:t>3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90F9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90F9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695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1922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14A7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0F9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0B5E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918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cp:lastPrinted>2018-06-26T22:41:00Z</cp:lastPrinted>
  <dcterms:created xsi:type="dcterms:W3CDTF">2018-12-17T16:41:00Z</dcterms:created>
  <dcterms:modified xsi:type="dcterms:W3CDTF">2018-12-17T16:49:00Z</dcterms:modified>
</cp:coreProperties>
</file>