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C076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C0760">
        <w:rPr>
          <w:rFonts w:ascii="Tahoma" w:hAnsi="Tahoma" w:cs="Tahoma"/>
          <w:b/>
          <w:sz w:val="32"/>
          <w:szCs w:val="32"/>
          <w:u w:val="single"/>
        </w:rPr>
        <w:t>275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17E3">
        <w:rPr>
          <w:rFonts w:ascii="Tahoma" w:hAnsi="Tahoma" w:cs="Tahoma"/>
          <w:b/>
          <w:sz w:val="32"/>
          <w:szCs w:val="32"/>
          <w:u w:val="single"/>
        </w:rPr>
        <w:t>289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3C6DAC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3C6DAC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5517E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517E3">
        <w:rPr>
          <w:rFonts w:ascii="Calibri" w:hAnsi="Calibri" w:cs="Calibri"/>
          <w:sz w:val="22"/>
          <w:szCs w:val="22"/>
        </w:rPr>
        <w:t>Dispõe sobre a desafetação e alienação de imóvel do patrimônio público.</w:t>
      </w:r>
    </w:p>
    <w:p w:rsidR="003A3A7C" w:rsidRPr="003C6DA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C6D7E" w:rsidRPr="003C6DAC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>Art. 1º Fica desafetado da classe de bens de uso comum do povo, para enquadramento na classe de bens dominicais, o imóvel registrado sob a matrícula nº 143.562, do 1º Cartório de Registro de Imóveis.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 xml:space="preserve">Parágrafo único. O imóvel mencionado no </w:t>
      </w:r>
      <w:r>
        <w:rPr>
          <w:rFonts w:ascii="Calibri" w:hAnsi="Calibri" w:cs="Calibri"/>
          <w:sz w:val="24"/>
          <w:szCs w:val="22"/>
        </w:rPr>
        <w:t>“</w:t>
      </w:r>
      <w:r w:rsidRPr="005517E3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5517E3">
        <w:rPr>
          <w:rFonts w:ascii="Calibri" w:hAnsi="Calibri" w:cs="Calibri"/>
          <w:sz w:val="24"/>
          <w:szCs w:val="22"/>
        </w:rPr>
        <w:t xml:space="preserve"> deste artigo é assim descrito: “Terreno designado Área ‘A’, situado na Rua Caetano Nigro, esquina com o Rodoanel Norte Dr. Octavio Arruda Camargo, em Araraquara, com a superfície de 2.030,52 metros quadrados que assim se descreve e caracteriza: ‘Inicia-se no Ponto 7, localizado na intersecção da área com o alinhamento predial da Rua Caetano Nigro e com a área 1B de propriedade de </w:t>
      </w:r>
      <w:proofErr w:type="spellStart"/>
      <w:r w:rsidRPr="005517E3">
        <w:rPr>
          <w:rFonts w:ascii="Calibri" w:hAnsi="Calibri" w:cs="Calibri"/>
          <w:sz w:val="24"/>
          <w:szCs w:val="22"/>
        </w:rPr>
        <w:t>Alcutar</w:t>
      </w:r>
      <w:proofErr w:type="spellEnd"/>
      <w:r w:rsidRPr="005517E3">
        <w:rPr>
          <w:rFonts w:ascii="Calibri" w:hAnsi="Calibri" w:cs="Calibri"/>
          <w:sz w:val="24"/>
          <w:szCs w:val="22"/>
        </w:rPr>
        <w:t xml:space="preserve"> Empreendimentos e Participações </w:t>
      </w:r>
      <w:proofErr w:type="spellStart"/>
      <w:r w:rsidRPr="005517E3">
        <w:rPr>
          <w:rFonts w:ascii="Calibri" w:hAnsi="Calibri" w:cs="Calibri"/>
          <w:sz w:val="24"/>
          <w:szCs w:val="22"/>
        </w:rPr>
        <w:t>Ltda</w:t>
      </w:r>
      <w:proofErr w:type="spellEnd"/>
      <w:r w:rsidRPr="005517E3">
        <w:rPr>
          <w:rFonts w:ascii="Calibri" w:hAnsi="Calibri" w:cs="Calibri"/>
          <w:sz w:val="24"/>
          <w:szCs w:val="22"/>
        </w:rPr>
        <w:t xml:space="preserve"> (M.135.348); daí segue confrontando com o alinhamento predial da Rua Caetano Nigro por 26,978 metros até encontrar o Ponto 18; daí deflete à direita e segue em curva de concordância com desenvolvimento de 8,321 metros – raio igual 6,30 metros confrontando com a confluência dos alinhamentos prediais da Rua Caetano Nigro com o Rodoanel Norte Dr. Octavio Arruda Camargo até encontrar o Ponto 19; daí segue por 41,631 metros até encontrar o Ponto 20; daí pequena deflexão à direita e segue por 9,344 metros até encontrar o Ponto 21; confrontando com o Ponto 19 ao Ponto 20 e do Ponto 20 ao Ponto 21 com o Rodoanel Norte Dr. Octavio Arruda Camargo; daí deflete à direita e segue por 40,00 metros confrontando com propriedade do Município de Araraquara – Sistema de Recreio – loteamento Vila Girassol (M.31.640), até encontrar o Ponto 8; finalmente deflete à direita e segue por 57,792 metros confrontando com a Área 1B de propriedade de </w:t>
      </w:r>
      <w:proofErr w:type="spellStart"/>
      <w:r w:rsidRPr="005517E3">
        <w:rPr>
          <w:rFonts w:ascii="Calibri" w:hAnsi="Calibri" w:cs="Calibri"/>
          <w:sz w:val="24"/>
          <w:szCs w:val="22"/>
        </w:rPr>
        <w:t>Alcutar</w:t>
      </w:r>
      <w:proofErr w:type="spellEnd"/>
      <w:r w:rsidRPr="005517E3">
        <w:rPr>
          <w:rFonts w:ascii="Calibri" w:hAnsi="Calibri" w:cs="Calibri"/>
          <w:sz w:val="24"/>
          <w:szCs w:val="22"/>
        </w:rPr>
        <w:t xml:space="preserve"> Empreendimentos e Participações </w:t>
      </w:r>
      <w:proofErr w:type="spellStart"/>
      <w:r w:rsidRPr="005517E3">
        <w:rPr>
          <w:rFonts w:ascii="Calibri" w:hAnsi="Calibri" w:cs="Calibri"/>
          <w:sz w:val="24"/>
          <w:szCs w:val="22"/>
        </w:rPr>
        <w:t>Ltda</w:t>
      </w:r>
      <w:proofErr w:type="spellEnd"/>
      <w:r w:rsidRPr="005517E3">
        <w:rPr>
          <w:rFonts w:ascii="Calibri" w:hAnsi="Calibri" w:cs="Calibri"/>
          <w:sz w:val="24"/>
          <w:szCs w:val="22"/>
        </w:rPr>
        <w:t xml:space="preserve"> (M.135.348)”.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 xml:space="preserve">Art. 2º Fica o Poder Executivo autorizado a alienar o imóvel citado no </w:t>
      </w:r>
      <w:r>
        <w:rPr>
          <w:rFonts w:ascii="Calibri" w:hAnsi="Calibri" w:cs="Calibri"/>
          <w:sz w:val="24"/>
          <w:szCs w:val="22"/>
        </w:rPr>
        <w:t>a</w:t>
      </w:r>
      <w:r w:rsidRPr="005517E3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5517E3">
        <w:rPr>
          <w:rFonts w:ascii="Calibri" w:hAnsi="Calibri" w:cs="Calibri"/>
          <w:sz w:val="24"/>
          <w:szCs w:val="22"/>
        </w:rPr>
        <w:t>ei, mediante licitação, na modalidade concorrência.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>Art. 3º A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 xml:space="preserve">Art. 4º A receita decorrente da alienação referida no </w:t>
      </w:r>
      <w:r>
        <w:rPr>
          <w:rFonts w:ascii="Calibri" w:hAnsi="Calibri" w:cs="Calibri"/>
          <w:sz w:val="24"/>
          <w:szCs w:val="22"/>
        </w:rPr>
        <w:t>a</w:t>
      </w:r>
      <w:r w:rsidRPr="005517E3">
        <w:rPr>
          <w:rFonts w:ascii="Calibri" w:hAnsi="Calibri" w:cs="Calibri"/>
          <w:sz w:val="24"/>
          <w:szCs w:val="22"/>
        </w:rPr>
        <w:t xml:space="preserve">rt. 2º desta </w:t>
      </w:r>
      <w:r>
        <w:rPr>
          <w:rFonts w:ascii="Calibri" w:hAnsi="Calibri" w:cs="Calibri"/>
          <w:sz w:val="24"/>
          <w:szCs w:val="22"/>
        </w:rPr>
        <w:t>l</w:t>
      </w:r>
      <w:r w:rsidRPr="005517E3">
        <w:rPr>
          <w:rFonts w:ascii="Calibri" w:hAnsi="Calibri" w:cs="Calibri"/>
          <w:sz w:val="24"/>
          <w:szCs w:val="22"/>
        </w:rPr>
        <w:t>ei não financiará despesa corrente.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5517E3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 xml:space="preserve">Art. 5º Esta </w:t>
      </w:r>
      <w:r>
        <w:rPr>
          <w:rFonts w:ascii="Calibri" w:hAnsi="Calibri" w:cs="Calibri"/>
          <w:sz w:val="24"/>
          <w:szCs w:val="22"/>
        </w:rPr>
        <w:t>l</w:t>
      </w:r>
      <w:r w:rsidRPr="005517E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6D45F8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517E3">
        <w:rPr>
          <w:rFonts w:ascii="Calibri" w:hAnsi="Calibri" w:cs="Calibri"/>
          <w:sz w:val="24"/>
          <w:szCs w:val="22"/>
        </w:rPr>
        <w:t>Art. 6º Fica revogada a Lei nº 9.331, de 25 de julho de 2018.</w:t>
      </w:r>
    </w:p>
    <w:p w:rsidR="005517E3" w:rsidRPr="003C6DAC" w:rsidRDefault="005517E3" w:rsidP="00551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F3D37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F3D37">
        <w:rPr>
          <w:rFonts w:ascii="Calibri" w:hAnsi="Calibri" w:cs="Calibri"/>
          <w:sz w:val="24"/>
          <w:szCs w:val="24"/>
        </w:rPr>
        <w:t>vinte e sete)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C6DAC" w:rsidRDefault="005A56CA" w:rsidP="00D47EAB">
      <w:pPr>
        <w:rPr>
          <w:rFonts w:ascii="Calibri" w:hAnsi="Calibri" w:cs="Calibri"/>
          <w:sz w:val="14"/>
          <w:szCs w:val="14"/>
        </w:rPr>
      </w:pPr>
    </w:p>
    <w:p w:rsidR="001C6D7E" w:rsidRPr="003C6DAC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076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076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DAC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17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0760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146</cp:revision>
  <cp:lastPrinted>2018-06-26T22:41:00Z</cp:lastPrinted>
  <dcterms:created xsi:type="dcterms:W3CDTF">2016-08-16T19:55:00Z</dcterms:created>
  <dcterms:modified xsi:type="dcterms:W3CDTF">2018-11-27T16:22:00Z</dcterms:modified>
</cp:coreProperties>
</file>