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C10F0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</w:t>
      </w:r>
      <w:r w:rsidR="009010EA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010EA">
        <w:rPr>
          <w:rFonts w:ascii="Arial" w:hAnsi="Arial" w:cs="Arial"/>
          <w:sz w:val="24"/>
          <w:szCs w:val="24"/>
        </w:rPr>
        <w:t>283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9010E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9010E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010EA">
        <w:rPr>
          <w:b/>
          <w:bCs/>
          <w:sz w:val="32"/>
          <w:szCs w:val="32"/>
        </w:rPr>
        <w:t>283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9010EA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9010EA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9010E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010EA">
        <w:rPr>
          <w:rFonts w:ascii="Arial" w:hAnsi="Arial" w:cs="Arial"/>
          <w:sz w:val="22"/>
          <w:szCs w:val="22"/>
        </w:rPr>
        <w:t>Altera a Lei nº 9.218, de 14 de março de 2018.</w:t>
      </w:r>
    </w:p>
    <w:p w:rsidR="00CC2294" w:rsidRPr="009010E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CC2294" w:rsidRPr="009010E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ab/>
      </w:r>
      <w:r w:rsidRPr="009010EA">
        <w:rPr>
          <w:rFonts w:ascii="Arial" w:hAnsi="Arial" w:cs="Arial"/>
          <w:sz w:val="24"/>
          <w:szCs w:val="24"/>
        </w:rPr>
        <w:tab/>
        <w:t>Art. 1º O inciso VI do § 1º do art. 4º da Lei nº 9.218, de 14 de março de 2018, passa a vigorar com a seguinte redação: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“Art. 4º ...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9"/>
          <w:szCs w:val="19"/>
        </w:rPr>
      </w:pP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§ 1º ...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VI – do fornecimento do próprio imóvel doado em garantia, a ser gravada na referida escritura, até a quitação do parcelamento, ou alternativamente, do fornecimento de fiança bancária ou de imóvel diverso em garantia, a ser gravada na referida escritura, até a quitação do parcelamento, desde que o valor do bem dado em garantia ou da fiança prestada seja de valor igual ou superior ao da compensação financeira.” (NR)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ab/>
      </w:r>
      <w:r w:rsidRPr="009010EA">
        <w:rPr>
          <w:rFonts w:ascii="Arial" w:hAnsi="Arial" w:cs="Arial"/>
          <w:sz w:val="24"/>
          <w:szCs w:val="24"/>
        </w:rPr>
        <w:tab/>
        <w:t>Art. 2º O Art. 4º da Lei nº 9.218, de 14 de março de 2018, passa a vigorar acrescido do § 9º, com a seguinte redação: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“Art. 4º ...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...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>§ 9º Celebrado o contrato da compensação financeira referido no “caput” deste artigo, caso a garantia do pagamento seja efetuada por meio de imóvel diverso do doado ou por meio do fornecimento de fiança bancária, na forma estabelecida no inciso VI do § 1º deste artigo, o donatário será liberado dos ônus contidos no art. 9° da Lei nº 5.119, de 14 de dezembro de 1998.” (NR)</w:t>
      </w:r>
    </w:p>
    <w:p w:rsidR="009010EA" w:rsidRPr="009010EA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Default="009010EA" w:rsidP="009010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010EA">
        <w:rPr>
          <w:rFonts w:ascii="Arial" w:hAnsi="Arial" w:cs="Arial"/>
          <w:sz w:val="24"/>
          <w:szCs w:val="24"/>
        </w:rPr>
        <w:tab/>
      </w:r>
      <w:r w:rsidRPr="009010EA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8B13B9" w:rsidRPr="009010E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010E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9010E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010E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9010E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C10F0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010EA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2018-11-13T13:21:00Z</dcterms:modified>
</cp:coreProperties>
</file>