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1B6E1B">
        <w:rPr>
          <w:rFonts w:ascii="Arial" w:eastAsia="Times New Roman" w:hAnsi="Arial" w:cs="Arial"/>
          <w:szCs w:val="24"/>
          <w:lang w:eastAsia="pt-BR"/>
        </w:rPr>
        <w:t>30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1B6E1B">
        <w:rPr>
          <w:rFonts w:ascii="Arial" w:eastAsia="Times New Roman" w:hAnsi="Arial" w:cs="Arial"/>
          <w:szCs w:val="24"/>
          <w:lang w:eastAsia="pt-BR"/>
        </w:rPr>
        <w:t>outub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ro de 2018, aprovando o Projeto de Lei nº </w:t>
      </w:r>
      <w:r w:rsidR="001B6E1B">
        <w:rPr>
          <w:rFonts w:ascii="Arial" w:eastAsia="Times New Roman" w:hAnsi="Arial" w:cs="Arial"/>
          <w:szCs w:val="24"/>
          <w:lang w:eastAsia="pt-BR"/>
        </w:rPr>
        <w:t>271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1B6E1B">
        <w:rPr>
          <w:rFonts w:eastAsia="Times New Roman" w:cs="Times New Roman"/>
          <w:b/>
          <w:bCs/>
          <w:sz w:val="32"/>
          <w:szCs w:val="32"/>
          <w:lang w:eastAsia="pt-BR"/>
        </w:rPr>
        <w:t>271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1B6E1B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1B6E1B">
        <w:rPr>
          <w:rFonts w:ascii="Arial" w:eastAsia="Times New Roman" w:hAnsi="Arial" w:cs="Arial"/>
          <w:sz w:val="22"/>
          <w:lang w:eastAsia="pt-BR"/>
        </w:rPr>
        <w:t>Autoriza a doação onerosa de imóvel do Município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Art. 1º Fica o Prefeito, em nome do Município de Araraquara, autorizado a alienar, mediante doação onerosa, a Indústria e Comércio de Café Center Araraquara LTDA - EPP, pessoa jurídica de direito privado, inscrita no CNPJ sob o nº 55.778.674/0001-03, imóvel localizado em terreno frontal à Avenida Honório Monteiro, 503, VIII Distrito Industrial, pertencente ao Município de Araraquara, objeto da matrícula nº 95.789 do 1º Cartório de Registro de Imóveis, integrante do guichê administrativo nº 072.366/2013 – processo nº 000.908/1987.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Art. 2º Do instrumento de doação constará: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I – cláusula de retrocessão;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II – cláusula que contenha a obrigação de recolher todos os tributos federais e estaduais no Município de Araraquara;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IV – cláusula determinando que a donatária não possa, sem anuência do doador, alterar seus objetivos sociais, consoante disposto no contrato social;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V – cláusula impeditiva de modificações quanto à destinação do imóvel doado;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VI – cláusula que determine a anuência do doador quando da cessão ou alienação do imóvel por parte da donatária;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VII – cláusula fixando que, em caso de hasta pública, o Município terá direito de preferência sobre o imóvel;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VIII – cláusula determinando que a donatária utilize totalmente a área doada, de acordo com os objetivos propostos;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IX – cláusula que contenha a impenhorabilidade do bem doado;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X – cláusula dispondo que a Secretaria Municipal do Trabalho e do Desenvolvimento Econômico poderá, a qualquer tempo, e com qualquer periodicidade, requerer da donatária a comprovação da continuidade das condições que a habilitaram ao recebimento do benefício;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XI – cláusula que estipule que a donatária deverá demonstrar ao órgão da Administração Municipal o atendimento aos requisitos e contrapartidas estipulados por esta lei e seus regulamentos, nos termos do art. 11 da Lei nº 5.119, de 14 de dezembro de 1998.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Parágrafo único. As custas e os emolumentos devidos pela lavratura das escrituras, como seus registros no cartório competente, serão de exclusiva responsabilidade da donatária, inclusive o ITBI devido ao Estado em razão da doação.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 xml:space="preserve">Art. 3º 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 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 xml:space="preserve">Art. 4º As despesas com a execução desta lei onerarão as dotações orçamentárias próprias, suplementadas se necessário. </w:t>
      </w:r>
    </w:p>
    <w:p w:rsidR="001B6E1B" w:rsidRPr="001B6E1B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B6E1B">
        <w:rPr>
          <w:rFonts w:ascii="Arial" w:eastAsia="Times New Roman" w:hAnsi="Arial" w:cs="Arial"/>
          <w:szCs w:val="24"/>
          <w:lang w:eastAsia="pt-BR"/>
        </w:rPr>
        <w:tab/>
      </w:r>
      <w:r w:rsidRPr="001B6E1B">
        <w:rPr>
          <w:rFonts w:ascii="Arial" w:eastAsia="Times New Roman" w:hAnsi="Arial" w:cs="Arial"/>
          <w:szCs w:val="24"/>
          <w:lang w:eastAsia="pt-BR"/>
        </w:rPr>
        <w:tab/>
        <w:t>Art. 5º Esta lei entra em vigor na data de sua publicação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1B6E1B" w:rsidRPr="009C5A22" w:rsidRDefault="001B6E1B" w:rsidP="001B6E1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6E1B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0400-64E1-4FE3-ABF2-B1074F53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2018-10-30T14:33:00Z</dcterms:modified>
</cp:coreProperties>
</file>