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C43E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B5295">
        <w:rPr>
          <w:rFonts w:ascii="Tahoma" w:hAnsi="Tahoma" w:cs="Tahoma"/>
          <w:b/>
          <w:sz w:val="32"/>
          <w:szCs w:val="32"/>
          <w:u w:val="single"/>
        </w:rPr>
        <w:t>256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B5295">
        <w:rPr>
          <w:rFonts w:ascii="Tahoma" w:hAnsi="Tahoma" w:cs="Tahoma"/>
          <w:b/>
          <w:sz w:val="32"/>
          <w:szCs w:val="32"/>
          <w:u w:val="single"/>
        </w:rPr>
        <w:t>267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B529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B5295">
        <w:rPr>
          <w:rFonts w:ascii="Calibri" w:hAnsi="Calibri" w:cs="Calibri"/>
          <w:sz w:val="22"/>
          <w:szCs w:val="22"/>
        </w:rPr>
        <w:t>Autoriza a doação onerosa de imóvel do Município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Art. 1º Fica o Prefeito, em nome do Município de Araraquara, autorizado a alienar, mediante doação onerosa, </w:t>
      </w:r>
      <w:r>
        <w:rPr>
          <w:rFonts w:ascii="Calibri" w:hAnsi="Calibri" w:cs="Calibri"/>
          <w:sz w:val="24"/>
          <w:szCs w:val="22"/>
        </w:rPr>
        <w:t>à</w:t>
      </w:r>
      <w:r w:rsidRPr="008B5295">
        <w:rPr>
          <w:rFonts w:ascii="Calibri" w:hAnsi="Calibri" w:cs="Calibri"/>
          <w:sz w:val="24"/>
          <w:szCs w:val="22"/>
        </w:rPr>
        <w:t xml:space="preserve"> Agência Adventista de Desenvolvimento e Recursos Assistenciais Central Brasileira – ADRA, pessoa jurídica de direito privado, inscrita no CNPJ sob o nº 15.355.260/0001-57, imóvel pertencente ao Município de Araraquara, objeto da matrícula nº 118.902, do 1º Cartório de Registro de Imóveis, integrante do guichê administrativo nº 047.598/2010 – processo nº 005.449/2003, co</w:t>
      </w:r>
      <w:r>
        <w:rPr>
          <w:rFonts w:ascii="Calibri" w:hAnsi="Calibri" w:cs="Calibri"/>
          <w:sz w:val="24"/>
          <w:szCs w:val="22"/>
        </w:rPr>
        <w:t xml:space="preserve">m a seguinte descrição: </w:t>
      </w:r>
      <w:r w:rsidRPr="008B5295">
        <w:rPr>
          <w:rFonts w:ascii="Calibri" w:hAnsi="Calibri" w:cs="Calibri"/>
          <w:sz w:val="24"/>
          <w:szCs w:val="22"/>
        </w:rPr>
        <w:t>“</w:t>
      </w:r>
      <w:r>
        <w:rPr>
          <w:rFonts w:ascii="Calibri" w:hAnsi="Calibri" w:cs="Calibri"/>
          <w:sz w:val="24"/>
          <w:szCs w:val="22"/>
        </w:rPr>
        <w:t>t</w:t>
      </w:r>
      <w:r w:rsidRPr="008B5295">
        <w:rPr>
          <w:rFonts w:ascii="Calibri" w:hAnsi="Calibri" w:cs="Calibri"/>
          <w:sz w:val="24"/>
          <w:szCs w:val="22"/>
        </w:rPr>
        <w:t>erreno designado Área A1, localizado no loteamento Jardim Maria Luiza, em Araraquara, com superfície de 6.070,78 metros quadrados, medindo 65,00 metros de frente para a Avenida Sargento P. M. Vital Maria Bueno Lopes; aos fundos se mede 7</w:t>
      </w:r>
      <w:r>
        <w:rPr>
          <w:rFonts w:ascii="Calibri" w:hAnsi="Calibri" w:cs="Calibri"/>
          <w:sz w:val="24"/>
          <w:szCs w:val="22"/>
        </w:rPr>
        <w:t>.</w:t>
      </w:r>
      <w:r w:rsidRPr="008B5295">
        <w:rPr>
          <w:rFonts w:ascii="Calibri" w:hAnsi="Calibri" w:cs="Calibri"/>
          <w:sz w:val="24"/>
          <w:szCs w:val="22"/>
        </w:rPr>
        <w:t>400 metros confrontando com a Área A2 (M.118.903); do lado esquerdo, mantendo vista frontal da área se mede 82,273 metros, confrontando com Área Verde (AV1); do lado direito se mede em curva com desenvolvimento de 14,14 metros, confrontando com o alinhamento presial da confluência da Avenida Sargento P. M. Vital Maria Bueno Lopes e Rua Leônidas Dall’Acqua e finalmente à direita se mede 73,273 metros, confrontando com a Rua Leônidas Dall’Acqua”.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2</w:t>
      </w:r>
      <w:r w:rsidRPr="008B5295">
        <w:rPr>
          <w:rFonts w:ascii="Calibri" w:hAnsi="Calibri" w:cs="Calibri"/>
          <w:sz w:val="24"/>
          <w:szCs w:val="22"/>
        </w:rPr>
        <w:t>º Do instrumento de doação constará: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I – cláusula de retrocessão;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II – cláusula que contenha a obrigação de recolher todos os tributos federais e estaduais no Município de Araraquara;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III – cláusula especificando que, em caso de </w:t>
      </w:r>
      <w:r w:rsidR="00BC43E9">
        <w:rPr>
          <w:rFonts w:ascii="Calibri" w:hAnsi="Calibri" w:cs="Calibri"/>
          <w:sz w:val="24"/>
          <w:szCs w:val="22"/>
        </w:rPr>
        <w:t>recuperação judicial</w:t>
      </w:r>
      <w:bookmarkStart w:id="0" w:name="_GoBack"/>
      <w:bookmarkEnd w:id="0"/>
      <w:r w:rsidRPr="008B5295">
        <w:rPr>
          <w:rFonts w:ascii="Calibri" w:hAnsi="Calibri" w:cs="Calibri"/>
          <w:sz w:val="24"/>
          <w:szCs w:val="22"/>
        </w:rPr>
        <w:t>, falência, extinção ou liquidação da donatária, terá o Município direito de preferência em relação ao imóvel doado;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IV – cláusula determinando que a donatária não possa, sem anuência do doador, alterar seus objetivos sociais, consoante disposto no contrato social;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V – cláusula impeditiva de modificações quanto à destinação do imóvel doado;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VI – cláusula que determine a anuência do doador quando da cessão ou alienação do imóvel por parte da donatária;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VII – cláusula fixando que, em caso de hasta pública, o Município terá direito de preferência sobre o imóvel;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VIII – cláusula determinando que a donatária utilize totalmente a área doada, de acordo com os objetivos propostos;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IX – cláusula que contenha a impenhorabilidade do bem doado;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>X – cláusula dispondo que a Secretaria Municipal do Trabalho e do Desenvolvimento Econômico poderá, a qualquer tempo, e com qualquer periodicidade, requerer da donatária a comprovação da continuidade das condições que a habilitaram ao recebimento do benefício;</w:t>
      </w: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XI – cláusula que estipule que a donatária deverá demonstrar ao órgão da Administração Municipal o atendimento aos requisitos e contrapartidas estipulados por esta </w:t>
      </w:r>
      <w:r>
        <w:rPr>
          <w:rFonts w:ascii="Calibri" w:hAnsi="Calibri" w:cs="Calibri"/>
          <w:sz w:val="24"/>
          <w:szCs w:val="22"/>
        </w:rPr>
        <w:t>l</w:t>
      </w:r>
      <w:r w:rsidRPr="008B5295">
        <w:rPr>
          <w:rFonts w:ascii="Calibri" w:hAnsi="Calibri" w:cs="Calibri"/>
          <w:sz w:val="24"/>
          <w:szCs w:val="22"/>
        </w:rPr>
        <w:t>ei e seus regulamentos, nos termos do art. 11 da Lei n</w:t>
      </w:r>
      <w:r>
        <w:rPr>
          <w:rFonts w:ascii="Calibri" w:hAnsi="Calibri" w:cs="Calibri"/>
          <w:sz w:val="24"/>
          <w:szCs w:val="22"/>
        </w:rPr>
        <w:t>º</w:t>
      </w:r>
      <w:r w:rsidRPr="008B5295">
        <w:rPr>
          <w:rFonts w:ascii="Calibri" w:hAnsi="Calibri" w:cs="Calibri"/>
          <w:sz w:val="24"/>
          <w:szCs w:val="22"/>
        </w:rPr>
        <w:t xml:space="preserve"> 5.119, de 14 de dezembro de 1998.  </w:t>
      </w:r>
    </w:p>
    <w:p w:rsid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Parágrafo único. As custas e os emolumentos devidos pela lavratura das escrituras, como seus registros no </w:t>
      </w:r>
      <w:r>
        <w:rPr>
          <w:rFonts w:ascii="Calibri" w:hAnsi="Calibri" w:cs="Calibri"/>
          <w:sz w:val="24"/>
          <w:szCs w:val="22"/>
        </w:rPr>
        <w:t>c</w:t>
      </w:r>
      <w:r w:rsidRPr="008B5295">
        <w:rPr>
          <w:rFonts w:ascii="Calibri" w:hAnsi="Calibri" w:cs="Calibri"/>
          <w:sz w:val="24"/>
          <w:szCs w:val="22"/>
        </w:rPr>
        <w:t>artório competente, serão de exclusiva responsabilidade da donatária, inclusive o ITBI devido ao Estado em razão da doação.</w:t>
      </w:r>
    </w:p>
    <w:p w:rsid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3º</w:t>
      </w:r>
      <w:r w:rsidRPr="008B5295">
        <w:rPr>
          <w:rFonts w:ascii="Calibri" w:hAnsi="Calibri" w:cs="Calibri"/>
          <w:sz w:val="24"/>
          <w:szCs w:val="22"/>
        </w:rPr>
        <w:t xml:space="preserve"> O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 </w:t>
      </w:r>
    </w:p>
    <w:p w:rsid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B5295" w:rsidRP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4</w:t>
      </w:r>
      <w:r w:rsidRPr="008B5295">
        <w:rPr>
          <w:rFonts w:ascii="Calibri" w:hAnsi="Calibri" w:cs="Calibri"/>
          <w:sz w:val="24"/>
          <w:szCs w:val="22"/>
        </w:rPr>
        <w:t xml:space="preserve">º As despesas com a execução desta </w:t>
      </w:r>
      <w:r>
        <w:rPr>
          <w:rFonts w:ascii="Calibri" w:hAnsi="Calibri" w:cs="Calibri"/>
          <w:sz w:val="24"/>
          <w:szCs w:val="22"/>
        </w:rPr>
        <w:t>l</w:t>
      </w:r>
      <w:r w:rsidRPr="008B5295">
        <w:rPr>
          <w:rFonts w:ascii="Calibri" w:hAnsi="Calibri" w:cs="Calibri"/>
          <w:sz w:val="24"/>
          <w:szCs w:val="22"/>
        </w:rPr>
        <w:t xml:space="preserve">ei onerarão as dotações orçamentárias próprias, suplementadas se necessário. </w:t>
      </w:r>
    </w:p>
    <w:p w:rsidR="008B5295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5295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5</w:t>
      </w:r>
      <w:r w:rsidRPr="008B5295">
        <w:rPr>
          <w:rFonts w:ascii="Calibri" w:hAnsi="Calibri" w:cs="Calibri"/>
          <w:sz w:val="24"/>
          <w:szCs w:val="22"/>
        </w:rPr>
        <w:t xml:space="preserve">º Esta </w:t>
      </w:r>
      <w:r>
        <w:rPr>
          <w:rFonts w:ascii="Calibri" w:hAnsi="Calibri" w:cs="Calibri"/>
          <w:sz w:val="24"/>
          <w:szCs w:val="22"/>
        </w:rPr>
        <w:t>l</w:t>
      </w:r>
      <w:r w:rsidRPr="008B5295">
        <w:rPr>
          <w:rFonts w:ascii="Calibri" w:hAnsi="Calibri" w:cs="Calibri"/>
          <w:sz w:val="24"/>
          <w:szCs w:val="22"/>
        </w:rPr>
        <w:t>ei entra em vigor na data de sua publicação.</w:t>
      </w:r>
    </w:p>
    <w:p w:rsidR="008B5295" w:rsidRPr="00646520" w:rsidRDefault="008B5295" w:rsidP="008B52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50B0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50B0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C43E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C43E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C43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5295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BC43E9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141</cp:revision>
  <cp:lastPrinted>2018-06-26T22:41:00Z</cp:lastPrinted>
  <dcterms:created xsi:type="dcterms:W3CDTF">2016-08-16T19:55:00Z</dcterms:created>
  <dcterms:modified xsi:type="dcterms:W3CDTF">2018-10-23T20:49:00Z</dcterms:modified>
</cp:coreProperties>
</file>