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D5" w:rsidRDefault="00B75EF4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2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</w:p>
    <w:p w:rsidR="000D75D5" w:rsidRDefault="000D75D5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Pr="000D75D5">
        <w:t xml:space="preserve"> </w:t>
      </w:r>
      <w:r w:rsidRPr="000D75D5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D75D5" w:rsidRDefault="000D75D5" w:rsidP="000D75D5">
      <w:pPr>
        <w:pStyle w:val="Cabealho"/>
      </w:pPr>
    </w:p>
    <w:p w:rsidR="00C06142" w:rsidRPr="00A83EC7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RESOLUÇÃO NÚMERO 4</w:t>
      </w:r>
      <w:r w:rsidR="001059A9">
        <w:rPr>
          <w:rFonts w:ascii="Tahoma" w:hAnsi="Tahoma" w:cs="Tahoma"/>
          <w:b/>
          <w:bCs/>
          <w:sz w:val="32"/>
          <w:szCs w:val="32"/>
          <w:u w:val="single"/>
        </w:rPr>
        <w:t>4</w:t>
      </w:r>
      <w:r>
        <w:rPr>
          <w:rFonts w:ascii="Tahoma" w:hAnsi="Tahoma" w:cs="Tahoma"/>
          <w:b/>
          <w:bCs/>
          <w:sz w:val="32"/>
          <w:szCs w:val="32"/>
          <w:u w:val="single"/>
        </w:rPr>
        <w:t>1</w:t>
      </w:r>
    </w:p>
    <w:p w:rsidR="00C06142" w:rsidRDefault="00C06142" w:rsidP="00393C44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503C43">
        <w:rPr>
          <w:rFonts w:ascii="Tahoma" w:hAnsi="Tahoma" w:cs="Tahoma"/>
          <w:sz w:val="32"/>
          <w:szCs w:val="32"/>
        </w:rPr>
        <w:t>09</w:t>
      </w:r>
      <w:r>
        <w:rPr>
          <w:rFonts w:ascii="Tahoma" w:hAnsi="Tahoma" w:cs="Tahoma"/>
          <w:sz w:val="32"/>
          <w:szCs w:val="32"/>
        </w:rPr>
        <w:t xml:space="preserve"> de </w:t>
      </w:r>
      <w:r w:rsidR="00503C43">
        <w:rPr>
          <w:rFonts w:ascii="Tahoma" w:hAnsi="Tahoma" w:cs="Tahoma"/>
          <w:sz w:val="32"/>
          <w:szCs w:val="32"/>
        </w:rPr>
        <w:t>outu</w:t>
      </w:r>
      <w:r w:rsidR="001059A9">
        <w:rPr>
          <w:rFonts w:ascii="Tahoma" w:hAnsi="Tahoma" w:cs="Tahoma"/>
          <w:sz w:val="32"/>
          <w:szCs w:val="32"/>
        </w:rPr>
        <w:t>b</w:t>
      </w:r>
      <w:r w:rsidR="003D7273">
        <w:rPr>
          <w:rFonts w:ascii="Tahoma" w:hAnsi="Tahoma" w:cs="Tahoma"/>
          <w:sz w:val="32"/>
          <w:szCs w:val="32"/>
        </w:rPr>
        <w:t xml:space="preserve">ro </w:t>
      </w:r>
      <w:r>
        <w:rPr>
          <w:rFonts w:ascii="Tahoma" w:hAnsi="Tahoma" w:cs="Tahoma"/>
          <w:sz w:val="32"/>
          <w:szCs w:val="32"/>
        </w:rPr>
        <w:t>de 201</w:t>
      </w:r>
      <w:r w:rsidR="0069310C">
        <w:rPr>
          <w:rFonts w:ascii="Tahoma" w:hAnsi="Tahoma" w:cs="Tahoma"/>
          <w:sz w:val="32"/>
          <w:szCs w:val="32"/>
        </w:rPr>
        <w:t>8</w:t>
      </w:r>
    </w:p>
    <w:p w:rsidR="00C06142" w:rsidRPr="00A83EC7" w:rsidRDefault="004030D9" w:rsidP="00393C44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Iniciativa</w:t>
      </w:r>
      <w:r w:rsidR="00C06142">
        <w:rPr>
          <w:rFonts w:ascii="Tahoma" w:hAnsi="Tahoma" w:cs="Tahoma"/>
          <w:b/>
          <w:bCs/>
          <w:sz w:val="32"/>
          <w:szCs w:val="32"/>
        </w:rPr>
        <w:t xml:space="preserve">: </w:t>
      </w:r>
      <w:r w:rsidR="001059A9">
        <w:rPr>
          <w:rFonts w:ascii="Tahoma" w:hAnsi="Tahoma" w:cs="Tahoma"/>
          <w:b/>
          <w:bCs/>
          <w:sz w:val="32"/>
          <w:szCs w:val="32"/>
        </w:rPr>
        <w:t>MESA DA CÂMARA MUNICIPAL DE ARARAQUARA</w:t>
      </w: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652DB3" w:rsidRDefault="001059A9" w:rsidP="00652DB3">
      <w:pPr>
        <w:ind w:left="4678"/>
        <w:jc w:val="both"/>
        <w:rPr>
          <w:rFonts w:ascii="Calibri" w:hAnsi="Calibri" w:cs="Calibri"/>
        </w:rPr>
      </w:pPr>
      <w:r w:rsidRPr="001059A9">
        <w:rPr>
          <w:rFonts w:ascii="Calibri" w:hAnsi="Calibri" w:cs="Calibri"/>
        </w:rPr>
        <w:t>Altera a Resolução nº 424, de 29 de setembro de 2015, de modo a atualizar as unidades, atividades e vagas disponíveis para a concessão de estágio, e dá outras providências.</w:t>
      </w: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3B5389">
        <w:rPr>
          <w:rFonts w:ascii="Calibri" w:hAnsi="Calibri" w:cs="Calibri"/>
          <w:bCs/>
          <w:i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>O PRESIDENTE deste Legislativo, usando da atribuição que lhe é conferida pel</w:t>
      </w:r>
      <w:r w:rsidR="00845D08">
        <w:rPr>
          <w:rFonts w:ascii="Calibri" w:hAnsi="Calibri" w:cs="Calibri"/>
          <w:sz w:val="24"/>
          <w:szCs w:val="24"/>
        </w:rPr>
        <w:t xml:space="preserve">a alínea </w:t>
      </w:r>
      <w:r w:rsidR="00845D08">
        <w:rPr>
          <w:rFonts w:ascii="Calibri" w:hAnsi="Calibri" w:cs="Calibri"/>
          <w:i/>
          <w:sz w:val="24"/>
          <w:szCs w:val="24"/>
        </w:rPr>
        <w:t xml:space="preserve">g </w:t>
      </w:r>
      <w:r w:rsidR="00845D08">
        <w:rPr>
          <w:rFonts w:ascii="Calibri" w:hAnsi="Calibri" w:cs="Calibri"/>
          <w:sz w:val="24"/>
          <w:szCs w:val="24"/>
        </w:rPr>
        <w:t>do inciso II d</w:t>
      </w:r>
      <w:r w:rsidRPr="000C27D0">
        <w:rPr>
          <w:rFonts w:ascii="Calibri" w:hAnsi="Calibri" w:cs="Calibri"/>
          <w:sz w:val="24"/>
          <w:szCs w:val="24"/>
        </w:rPr>
        <w:t>o artigo 32</w:t>
      </w:r>
      <w:r w:rsidR="00845D08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Pr="000C27D0">
        <w:rPr>
          <w:rFonts w:ascii="Calibri" w:hAnsi="Calibri" w:cs="Calibri"/>
          <w:sz w:val="24"/>
          <w:szCs w:val="24"/>
        </w:rPr>
        <w:t xml:space="preserve">, </w:t>
      </w:r>
      <w:r w:rsidR="00845D08">
        <w:rPr>
          <w:rFonts w:ascii="Calibri" w:hAnsi="Calibri" w:cs="Calibri"/>
          <w:sz w:val="24"/>
          <w:szCs w:val="24"/>
        </w:rPr>
        <w:t>anexo à</w:t>
      </w:r>
      <w:r w:rsidRPr="000C27D0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</w:t>
      </w:r>
      <w:r>
        <w:rPr>
          <w:rFonts w:ascii="Calibri" w:hAnsi="Calibri" w:cs="Calibri"/>
          <w:sz w:val="24"/>
          <w:szCs w:val="24"/>
        </w:rPr>
        <w:t xml:space="preserve">rio em sessão ordinária de </w:t>
      </w:r>
      <w:r w:rsidR="000874E7">
        <w:rPr>
          <w:rFonts w:ascii="Calibri" w:hAnsi="Calibri" w:cs="Calibri"/>
          <w:sz w:val="24"/>
          <w:szCs w:val="24"/>
        </w:rPr>
        <w:t>09</w:t>
      </w:r>
      <w:r w:rsidR="003D7273"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 xml:space="preserve">de </w:t>
      </w:r>
      <w:r w:rsidR="000874E7">
        <w:rPr>
          <w:rFonts w:ascii="Calibri" w:hAnsi="Calibri" w:cs="Calibri"/>
          <w:sz w:val="24"/>
          <w:szCs w:val="24"/>
        </w:rPr>
        <w:t>outu</w:t>
      </w:r>
      <w:r w:rsidR="001059A9">
        <w:rPr>
          <w:rFonts w:ascii="Calibri" w:hAnsi="Calibri" w:cs="Calibri"/>
          <w:sz w:val="24"/>
          <w:szCs w:val="24"/>
        </w:rPr>
        <w:t>br</w:t>
      </w:r>
      <w:r w:rsidR="003D7273">
        <w:rPr>
          <w:rFonts w:ascii="Calibri" w:hAnsi="Calibri" w:cs="Calibri"/>
          <w:sz w:val="24"/>
          <w:szCs w:val="24"/>
        </w:rPr>
        <w:t xml:space="preserve">o </w:t>
      </w:r>
      <w:r w:rsidRPr="000C27D0">
        <w:rPr>
          <w:rFonts w:ascii="Calibri" w:hAnsi="Calibri" w:cs="Calibri"/>
          <w:sz w:val="24"/>
          <w:szCs w:val="24"/>
        </w:rPr>
        <w:t>de 201</w:t>
      </w:r>
      <w:r w:rsidR="001059A9">
        <w:rPr>
          <w:rFonts w:ascii="Calibri" w:hAnsi="Calibri" w:cs="Calibri"/>
          <w:sz w:val="24"/>
          <w:szCs w:val="24"/>
        </w:rPr>
        <w:t>8</w:t>
      </w:r>
      <w:r w:rsidRPr="000C27D0">
        <w:rPr>
          <w:rFonts w:ascii="Calibri" w:hAnsi="Calibri" w:cs="Calibri"/>
          <w:sz w:val="24"/>
          <w:szCs w:val="24"/>
        </w:rPr>
        <w:t>, promulga a seguinte</w:t>
      </w:r>
    </w:p>
    <w:p w:rsidR="00C06142" w:rsidRPr="009D0CF1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0C27D0">
        <w:rPr>
          <w:rFonts w:ascii="Tahoma" w:hAnsi="Tahoma" w:cs="Tahoma"/>
          <w:b/>
          <w:bCs/>
          <w:sz w:val="32"/>
          <w:szCs w:val="32"/>
          <w:u w:val="single"/>
        </w:rPr>
        <w:t>RESOLUÇÃO</w:t>
      </w:r>
    </w:p>
    <w:p w:rsidR="00DE2CC1" w:rsidRPr="00DE2CC1" w:rsidRDefault="00C06142" w:rsidP="00DE2CC1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ab/>
      </w:r>
      <w:r w:rsidR="00DE2CC1" w:rsidRPr="00DE2CC1">
        <w:rPr>
          <w:rFonts w:ascii="Calibri" w:hAnsi="Calibri" w:cs="Calibri"/>
          <w:sz w:val="24"/>
          <w:szCs w:val="24"/>
        </w:rPr>
        <w:t xml:space="preserve"> 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ab/>
        <w:t>Art. 1º Na parte dispositiva da Resolução nº 424, de 29 de setembro de 2015, faça-se as seguintes alterações: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>I – o título “DISPOSIÇÕES INICIAIS”, alocado entre o preâmbulo e o art. 1º, fica denominado “CAPÍTULO I – DISPOSIÇÕES INICIAIS”;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>II – o título “DAS MODALIDADES DE ESTÁGIO”, alocado entre o inciso III do art. 2º e o “caput” do art. 3º, fica denominado “CAPÍTULO II – DAS MODALIDADES DE ESTÁGIO”;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>III – o título “DO ESTÁGIO NÃO OBRIGATÓRIO”, alocado entre o parágrafo único do art. 3º e o art. 4º, fica denominado “SEÇÃO I – DO ESTÁGIO NÃO OBRIGATÓRIO”;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>IV – o título “DO ESTÁGIO OBRIGATÓRIO”, alocado entre o inciso IV do art. 8º e o art. 9º, fica denominado “SEÇÃO II – DO ESTÁGIO OBRIGATÓRIO”;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>V – o título “DA DURAÇÃO DO ESTÁGIO”, alocado entre o § 2º do art. 12 e o “caput” do art. 13, fica denominado “CAPÍTULO IV – DA DURAÇÃO DO ESTÁGIO”;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>VI – o título “DAS ATRIBUIÇÕES DOS ESTAGIÁRIOS E DA SUPERVISÃO DO ESTÁGIO”, alocado entre o parágrafo único do art. 13 e o “caput” do art. 14, fica denominado “CAPÍTULO V – DAS ATRIBUIÇÕES DOS ESTAGIÁRIOS E DA SUPERVISÃO DO ESTÁGIO”;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>VII – o título “DOS DEVERES DOS ESTAGIÁRIOS”, alocado entre o parágrafo único do art. 15 e o “caput” do art. 16, fica denominado “CAPÍTULO VI – DOS DEVERES DOS ESTAGIÁRIOS”;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>VIII – o título “DA INTERRUPÇÃO DO ESTÁGIO”, alocado entre o inciso V do art. 16 e o “caput” do art. 17, fica denominado “CAPÍTULO VII – DA INTERRUPÇÃO DO ESTÁGIO”;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>IX – o título “DISPOSIÇÕES FINAIS”, alocado entre a alínea “e” do inciso II do art. 17 e o “caput” do art. 18, fica denominado “CAPÍTULO VIII – DISPOSIÇÕES FINAIS”.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ab/>
        <w:t>Art. 2º Fica renumerado como § 1º o parágrafo único do artigo 3º da Resolução nº 424, de 29 de setembro de 2015, acrescendo-se a tal dispositivo o § 2º, com a seguinte redação: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“Art. 3º ...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§ 1º Os convênios vigorarão por 3 (três) anos, sendo permitida a prorrogação por igual período, havendo interesse recíproco das partes, mediante termo aditivo ao convênio.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§ 2º Ambas as modalidades de estágio serão formalizadas através da celebração de termo de convênio de concessão de estágio com instituições de ensino e termo de compromisso com o estudante.”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ab/>
        <w:t>Art. 3º Acresça-se o parágrafo único ao artigo 8º da Resolução nº 424, de 29 de setembro de 2015, com a seguinte redação: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“Art. 8º...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Parágrafo único. Ato da Mesa da Câmara Municipal de Araraquara poderá atualizar os valores mencionados neste artigo, tomando-se sempre por base índices oficiais.”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ab/>
        <w:t>Art. 4º Acresça-se o art. 11-A à Resolução nº 424, de 29 de setembro de 2015, com a seguinte redação: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“Art. 11-A. Antes da publicação do edital a que se refere o art. 12-C, caberá à Câmara Municipal de Araraquara a divulgação, por meio de publicação em jornal local, das oportunidades de estágio obrigatório, para que todas as instituições de ensino interessadas possam propor a celebração de convênio com a Câmara Municipal de Araraquara.”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ab/>
        <w:t>Art. 5º Inclua-se, na Resolução nº 424, de 29 de setembro de 2015, o “Capítulo III – DO PROCESSO SELETIVO DE ESTAGIÁRIOS”, compreendido pelos artigos 12-A a 12-D, com a seguinte redação: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“Art. 12-A. O processo seletivo para admissão de estagiários da Câmara Municipal de Araraquara, nas modalidades de estágio obrigatório e não obrigatório, compreenderá as seguintes fases: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I – fase interna, em que serão realizados os procedimentos preparatórios para a seleção de estagiários;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II – fase externa, iniciada com a publicação do edital disciplinador do processo seletivo propriamente dito.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Art. 12-B. A fase interna do processo seletivo para admissão de estagiários compreende os seguintes elementos básicos: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I – manifestação de interesse, pelas unidades da Câmara Municipal de Araraquara que possuam vagas para estagiários, em admitir estagiários;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II – definição das áreas de formação e experiência profissional dos servidores lotados na unidade interessada, para fins de determinação de supervisão de estagiários, e correspondente definição de pertinência temática com cursos de ensino superior;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III – definição do perfil de estagiário, a partir do inciso II deste artigo, e da quantidade de vagas de estágio a serem ofertadas no processo seletivo, observando-se o disposto no art. 18 desta Resolução;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IV – definição do conteúdo programático a ser exigido dos candidatos às vagas de estágio a serem ofertadas, em consonância com a descrição das atividades a serem desenvolvidas na unidade e com o curso de ensino superior definido;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V – estruturação do edital de processo seletivo.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§ 1º A seleção de estagiários, nas modalidades de estágio obrigatório e não obrigatório, ocorrerá mediante aplicação de prova escrita objetiva ou discursiva, que avaliará conhecimentos específicos da atividade do estágio a que se destina, conhecimentos do curso do ensino superior correspondente e conhecimentos da língua portuguesa.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§ 2º Na modalidade de estágio obrigatório, o processo seletivo poderá ser conduzido por agente de integração, nos termos do correspondente convênio de serviços, hipótese em que este será responsável pelo processo seletivo, cabendo à Câmara Municipal de Araraquara a sua supervisão.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 xml:space="preserve">§ 3º Os processos seletivos para admissão de estagiários ocorrerão com frequência trimestral, competindo à </w:t>
      </w:r>
      <w:proofErr w:type="spellStart"/>
      <w:r w:rsidRPr="001059A9">
        <w:rPr>
          <w:rFonts w:ascii="Calibri" w:hAnsi="Calibri" w:cs="Calibri"/>
          <w:sz w:val="24"/>
          <w:szCs w:val="24"/>
        </w:rPr>
        <w:t>Secretaria-Geral</w:t>
      </w:r>
      <w:proofErr w:type="spellEnd"/>
      <w:r w:rsidRPr="001059A9">
        <w:rPr>
          <w:rFonts w:ascii="Calibri" w:hAnsi="Calibri" w:cs="Calibri"/>
          <w:sz w:val="24"/>
          <w:szCs w:val="24"/>
        </w:rPr>
        <w:t xml:space="preserve"> da Câmara Municipal de Araraquara definir os prazos máximos para a manifestação prevista no inciso I do “caput” deste artigo, bem como recepcionar tais manifestações.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 xml:space="preserve">Art. 12-C. A fase externa do processo seletivo de admissão de estagiários inicia-se com a publicação do correspondente edital, que deverá ocorrer com antecedência mínima de 10 (dez) dias. 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 xml:space="preserve">§ 1º Ademais das informações constantes do artigo 12-B desta Resolução, o edital de processo seletivo deverá indicar: 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I – meio e prazo de realização de inscrição;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II – local e horário de realização das provas;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III – as espécies de provas a serem aplicadas e o prazo para sua realização;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IV – meio, data e local de divulgação de gabaritos ou espelhos de provas;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V – prazo e local para apresentação de recursos contra gabaritos ou espelhos de provas, bem como contra os resultados das provas;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lastRenderedPageBreak/>
        <w:t>VI – prazo de validade do processo seletivo, que não poderá ser superior a 01 (um) ano;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VII – prazo máximo de manifestação de interesse em ingressar no estágio.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ab/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§ 2º Em havendo pluralidade de vagas ofertadas para seleção de estagiários com atuação em mesma atividade ou de cursos/áreas de mesma pertinência temática, porém para distintas unidades de alocação do estagiário, caberá à pessoa mais bem colocada no processo seletivo a prioridade na escolha para o setor em que irá desempenhar o estágio.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Art. 12-D. Ato da Mesa Diretora poderá regulamentar as fases interna e externa do processo seletivo de estagiários da Câmara Municipal de Araraquara.”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ab/>
        <w:t>Art. 6º Fica renumerado como § 1º o parágrafo único do artigo 13 da Resolução nº 424, de 29 de setembro de 2015, acrescendo-se a tal dispositivo os §§ 2º e 3º, com a seguinte redação: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“Art. 13. ...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 xml:space="preserve">§ 1º A prorrogação ocorrerá mediante solicitação do supervisor, formulada com 30 (trinta) dias de antecedência, que será encaminhada, juntamente com o termo de prorrogação de estágio, devidamente assinado pelo estagiário, à respectiva área de gestão de pessoas, comunicando-se sua eventual aprovação à instituição de ensino. 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 xml:space="preserve">§ 2º Exclusivamente para as hipóteses de estágio desenvolvidas junto aos gabinetes de Vereadores, o estágio não poderá se estender para além da legislatura em que iniciado.  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 xml:space="preserve">§ 3º As disposições do § 2º deste artigo deverão obrigatoriamente constar nos convênios previstos no art. 11-A e no § 2º do art. 12-B desta Resolução, bem como nos termos de compromisso de estágio firmados pela Câmara Municipal de Araraquara.” (NR) 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ab/>
        <w:t>Art. 7º Fica acrescida a alínea “f” ao inciso II do art. 17 da Resolução nº 424, de 29 de setembro de 2015, com a seguinte redação: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ab/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“Art. 17 ...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...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II – ...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...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f) o supervisor do estagiário, por qualquer motivo, não mais estiver vinculado ao setor em que o estagiário desenvolver suas atividades, sem que, no prazo máximo de 30 (trinta) dias, haja a designação de novo supervisor para o estagiário.” (NR)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lastRenderedPageBreak/>
        <w:tab/>
      </w:r>
      <w:r w:rsidRPr="001059A9">
        <w:rPr>
          <w:rFonts w:ascii="Calibri" w:hAnsi="Calibri" w:cs="Calibri"/>
          <w:sz w:val="24"/>
          <w:szCs w:val="24"/>
        </w:rPr>
        <w:tab/>
        <w:t>Art. 8º O Anexo Único da Resolução nº 424, de 29 de setembro de 2015, passa a vigorar com as seguintes alterações: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“ANEXO ÚNICO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>SETORES, ATIVIDADES E VAGAS DISPONÍVEIS PARA A CONCESSÃO DE ESTÁGIO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5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3193"/>
        <w:gridCol w:w="1280"/>
        <w:gridCol w:w="1552"/>
        <w:gridCol w:w="1754"/>
      </w:tblGrid>
      <w:tr w:rsidR="001059A9" w:rsidRPr="001059A9" w:rsidTr="00D26E53">
        <w:tc>
          <w:tcPr>
            <w:tcW w:w="8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Unidade</w:t>
            </w:r>
          </w:p>
        </w:tc>
        <w:tc>
          <w:tcPr>
            <w:tcW w:w="19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Atividades: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Vaga(s)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Curso/ Grau: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Tipo de estágio</w:t>
            </w:r>
          </w:p>
        </w:tc>
      </w:tr>
      <w:tr w:rsidR="001059A9" w:rsidRPr="001059A9" w:rsidTr="00D26E53"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1) Procuradoria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Rotinas específicas da área do Direito, podendo envolver áreas Administrativas, Constitucionais e outras, bem como outras atividades condizentes com a formação do estagiário.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(01) uma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Direito</w:t>
            </w:r>
          </w:p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Cursando nível superior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Não obrigatório</w:t>
            </w:r>
          </w:p>
        </w:tc>
      </w:tr>
      <w:tr w:rsidR="001059A9" w:rsidRPr="001059A9" w:rsidTr="00D26E53">
        <w:trPr>
          <w:trHeight w:val="1032"/>
        </w:trPr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2) Diretoria Legislativa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Rotinas específicas da Diretoria Legislativa e da Gerência de Expediente do Legislativo, incluindo outras condizentes com a formação do estagiário.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(03) três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Administração Pública ou Direito</w:t>
            </w:r>
          </w:p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Cursando nível superior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Obrigatório/Não obrigatório</w:t>
            </w:r>
          </w:p>
        </w:tc>
      </w:tr>
      <w:tr w:rsidR="001059A9" w:rsidRPr="001059A9" w:rsidTr="00D26E53">
        <w:trPr>
          <w:trHeight w:val="270"/>
        </w:trPr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3) REVOGADO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REVOGADO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REVOGADO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REVOGADO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REVOGADO</w:t>
            </w:r>
          </w:p>
        </w:tc>
      </w:tr>
      <w:tr w:rsidR="001059A9" w:rsidRPr="001059A9" w:rsidTr="00D26E53"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4) Gerência de Tecnologia da Informação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Rotinas específicas da Gerência de Tecnologia da Informação e outras atividades com a formação do estagiário.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(01) uma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Ciências da Computação, Sistemas de Informação ou Engenharia da Computação</w:t>
            </w:r>
          </w:p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Cursando nível superior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Não obrigatório</w:t>
            </w:r>
          </w:p>
        </w:tc>
      </w:tr>
      <w:tr w:rsidR="001059A9" w:rsidRPr="001059A9" w:rsidTr="00D26E53"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5) Diretoria de Comunicação Social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Rotinas específicas do Setor, incluindo atividades de redação de matérias, fotografias e filmagens e participação, quando determinado, na edição das filmagens de sessões do Legislativo, via TV Câmara e outras condizentes com a formação do estagiário.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(02) duas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Jornalismo,</w:t>
            </w:r>
          </w:p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Comunicações</w:t>
            </w:r>
          </w:p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Cursando nível superior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Não obrigatório</w:t>
            </w:r>
          </w:p>
        </w:tc>
      </w:tr>
      <w:tr w:rsidR="001059A9" w:rsidRPr="001059A9" w:rsidTr="00D26E53"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6) Diretoria de Comunicação Social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Auxiliar na operação de câmera em eventos, ao vivo, ou gravados; em estúdio ou externas.</w:t>
            </w:r>
          </w:p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Auxiliar na gravação e edição de vídeo e áudio.</w:t>
            </w:r>
          </w:p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Auxiliar na montagem e operação de sistema de som em eventos, internos ou externos, sessões e outros.</w:t>
            </w:r>
          </w:p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 xml:space="preserve">Legendas, </w:t>
            </w:r>
            <w:proofErr w:type="spellStart"/>
            <w:r w:rsidRPr="001059A9">
              <w:rPr>
                <w:rFonts w:ascii="Calibri" w:hAnsi="Calibri" w:cs="Calibri"/>
                <w:sz w:val="24"/>
                <w:szCs w:val="24"/>
              </w:rPr>
              <w:t>metadados</w:t>
            </w:r>
            <w:proofErr w:type="spellEnd"/>
            <w:r w:rsidRPr="001059A9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r w:rsidRPr="001059A9">
              <w:rPr>
                <w:rFonts w:ascii="Calibri" w:hAnsi="Calibri" w:cs="Calibri"/>
                <w:sz w:val="24"/>
                <w:szCs w:val="24"/>
              </w:rPr>
              <w:lastRenderedPageBreak/>
              <w:t>sistema de geração de caracteres para sistema de gerenciamento de gravações e arquivos.</w:t>
            </w:r>
          </w:p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Gravação e cópias, quando solicitados.</w:t>
            </w:r>
          </w:p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 xml:space="preserve">Conversão dos formatos de vídeo e postagem no </w:t>
            </w:r>
            <w:proofErr w:type="spellStart"/>
            <w:r w:rsidRPr="001059A9">
              <w:rPr>
                <w:rFonts w:ascii="Calibri" w:hAnsi="Calibri" w:cs="Calibri"/>
                <w:sz w:val="24"/>
                <w:szCs w:val="24"/>
              </w:rPr>
              <w:t>youtube</w:t>
            </w:r>
            <w:proofErr w:type="spellEnd"/>
            <w:r w:rsidRPr="001059A9">
              <w:rPr>
                <w:rFonts w:ascii="Calibri" w:hAnsi="Calibri" w:cs="Calibri"/>
                <w:sz w:val="24"/>
                <w:szCs w:val="24"/>
              </w:rPr>
              <w:t>, site da Câmara, redes sociais e outros, montagem e operação de computador e Datashow em eventos.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lastRenderedPageBreak/>
              <w:t>(02) duas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Imagem e Som,</w:t>
            </w:r>
          </w:p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Cursando nível superior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Não obrigatório</w:t>
            </w:r>
          </w:p>
        </w:tc>
      </w:tr>
      <w:tr w:rsidR="001059A9" w:rsidRPr="001059A9" w:rsidTr="00D26E53"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7) Gabinete Parlamentar – Art. 5º, § 5º, da Lei nº 9.152, de 06 de dezembro de 2017.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Rotinas específicas do Gabinete Parlamentar, na forma do art. 5º da Lei nº 9.152, de 06 de dezembro de 2017, e outras atividades compatíveis com a formação do estagiário.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18 (dezoito)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Cursando nível superior – Cursos e áreas a serem definidos no processo seletivo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Não obrigatório</w:t>
            </w:r>
          </w:p>
        </w:tc>
      </w:tr>
      <w:tr w:rsidR="001059A9" w:rsidRPr="001059A9" w:rsidTr="00D26E53">
        <w:trPr>
          <w:trHeight w:val="836"/>
        </w:trPr>
        <w:tc>
          <w:tcPr>
            <w:tcW w:w="28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Total de vagas disponíveis para concessão de bolsa auxílio......................................................</w:t>
            </w:r>
          </w:p>
        </w:tc>
        <w:tc>
          <w:tcPr>
            <w:tcW w:w="21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9A9" w:rsidRPr="001059A9" w:rsidRDefault="001059A9" w:rsidP="001059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59A9">
              <w:rPr>
                <w:rFonts w:ascii="Calibri" w:hAnsi="Calibri" w:cs="Calibri"/>
                <w:sz w:val="24"/>
                <w:szCs w:val="24"/>
              </w:rPr>
              <w:t>27 (vinte e sete)</w:t>
            </w:r>
          </w:p>
        </w:tc>
      </w:tr>
    </w:tbl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 xml:space="preserve">“ (NR) 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ab/>
        <w:t xml:space="preserve">Art. </w:t>
      </w:r>
      <w:r w:rsidR="00E76994">
        <w:rPr>
          <w:rFonts w:ascii="Calibri" w:hAnsi="Calibri" w:cs="Calibri"/>
          <w:sz w:val="24"/>
          <w:szCs w:val="24"/>
        </w:rPr>
        <w:t>9</w:t>
      </w:r>
      <w:r w:rsidRPr="001059A9">
        <w:rPr>
          <w:rFonts w:ascii="Calibri" w:hAnsi="Calibri" w:cs="Calibri"/>
          <w:sz w:val="24"/>
          <w:szCs w:val="24"/>
        </w:rPr>
        <w:t>º Esta resolução entra em vigor na data de sua publicação.</w:t>
      </w: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59A9" w:rsidRPr="001059A9" w:rsidRDefault="001059A9" w:rsidP="001059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059A9">
        <w:rPr>
          <w:rFonts w:ascii="Calibri" w:hAnsi="Calibri" w:cs="Calibri"/>
          <w:sz w:val="24"/>
          <w:szCs w:val="24"/>
        </w:rPr>
        <w:tab/>
      </w:r>
      <w:r w:rsidRPr="001059A9">
        <w:rPr>
          <w:rFonts w:ascii="Calibri" w:hAnsi="Calibri" w:cs="Calibri"/>
          <w:sz w:val="24"/>
          <w:szCs w:val="24"/>
        </w:rPr>
        <w:tab/>
        <w:t xml:space="preserve">Art. </w:t>
      </w:r>
      <w:r w:rsidR="00E76994">
        <w:rPr>
          <w:rFonts w:ascii="Calibri" w:hAnsi="Calibri" w:cs="Calibri"/>
          <w:sz w:val="24"/>
          <w:szCs w:val="24"/>
        </w:rPr>
        <w:t>10.</w:t>
      </w:r>
      <w:r w:rsidRPr="001059A9">
        <w:rPr>
          <w:rFonts w:ascii="Calibri" w:hAnsi="Calibri" w:cs="Calibri"/>
          <w:sz w:val="24"/>
          <w:szCs w:val="24"/>
        </w:rPr>
        <w:t xml:space="preserve"> Ficam revogados os artigos 5º, 10 e 11 da Resolução nº 424, de 29 de setembro de 2015, e a Resolução nº 428, de 15 de março de 2016.</w:t>
      </w:r>
    </w:p>
    <w:p w:rsidR="003B5389" w:rsidRPr="000C27D0" w:rsidRDefault="003B5389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sz w:val="24"/>
          <w:szCs w:val="24"/>
        </w:rPr>
        <w:tab/>
      </w:r>
      <w:r w:rsidR="003B5389">
        <w:rPr>
          <w:rFonts w:ascii="Calibri" w:hAnsi="Calibri" w:cs="Calibri"/>
          <w:b/>
          <w:b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 xml:space="preserve">CÂMARA MUNICIPAL DE ARARAQUARA, aos </w:t>
      </w:r>
      <w:r w:rsidR="00B75EF4">
        <w:rPr>
          <w:rFonts w:ascii="Calibri" w:hAnsi="Calibri" w:cs="Calibri"/>
          <w:sz w:val="24"/>
          <w:szCs w:val="24"/>
        </w:rPr>
        <w:t>09</w:t>
      </w:r>
      <w:r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>(</w:t>
      </w:r>
      <w:r w:rsidR="00B75EF4">
        <w:rPr>
          <w:rFonts w:ascii="Calibri" w:hAnsi="Calibri" w:cs="Calibri"/>
          <w:sz w:val="24"/>
          <w:szCs w:val="24"/>
        </w:rPr>
        <w:t>nove</w:t>
      </w:r>
      <w:r w:rsidRPr="000C27D0">
        <w:rPr>
          <w:rFonts w:ascii="Calibri" w:hAnsi="Calibri" w:cs="Calibri"/>
          <w:sz w:val="24"/>
          <w:szCs w:val="24"/>
        </w:rPr>
        <w:t xml:space="preserve">) dias do mês de </w:t>
      </w:r>
      <w:r w:rsidR="00B75EF4">
        <w:rPr>
          <w:rFonts w:ascii="Calibri" w:hAnsi="Calibri" w:cs="Calibri"/>
          <w:sz w:val="24"/>
          <w:szCs w:val="24"/>
        </w:rPr>
        <w:t>outu</w:t>
      </w:r>
      <w:r w:rsidR="001059A9">
        <w:rPr>
          <w:rFonts w:ascii="Calibri" w:hAnsi="Calibri" w:cs="Calibri"/>
          <w:sz w:val="24"/>
          <w:szCs w:val="24"/>
        </w:rPr>
        <w:t>br</w:t>
      </w:r>
      <w:r>
        <w:rPr>
          <w:rFonts w:ascii="Calibri" w:hAnsi="Calibri" w:cs="Calibri"/>
          <w:sz w:val="24"/>
          <w:szCs w:val="24"/>
        </w:rPr>
        <w:t xml:space="preserve">o </w:t>
      </w:r>
      <w:r w:rsidRPr="000C27D0">
        <w:rPr>
          <w:rFonts w:ascii="Calibri" w:hAnsi="Calibri" w:cs="Calibri"/>
          <w:sz w:val="24"/>
          <w:szCs w:val="24"/>
        </w:rPr>
        <w:t>do ano de 201</w:t>
      </w:r>
      <w:r w:rsidR="001059A9">
        <w:rPr>
          <w:rFonts w:ascii="Calibri" w:hAnsi="Calibri" w:cs="Calibri"/>
          <w:sz w:val="24"/>
          <w:szCs w:val="24"/>
        </w:rPr>
        <w:t>8</w:t>
      </w:r>
      <w:r w:rsidRPr="000C27D0">
        <w:rPr>
          <w:rFonts w:ascii="Calibri" w:hAnsi="Calibri" w:cs="Calibri"/>
          <w:sz w:val="24"/>
          <w:szCs w:val="24"/>
        </w:rPr>
        <w:t xml:space="preserve"> (dois mil e </w:t>
      </w:r>
      <w:r w:rsidR="004030D9">
        <w:rPr>
          <w:rFonts w:ascii="Calibri" w:hAnsi="Calibri" w:cs="Calibri"/>
          <w:sz w:val="24"/>
          <w:szCs w:val="24"/>
        </w:rPr>
        <w:t>dez</w:t>
      </w:r>
      <w:r w:rsidR="001059A9">
        <w:rPr>
          <w:rFonts w:ascii="Calibri" w:hAnsi="Calibri" w:cs="Calibri"/>
          <w:sz w:val="24"/>
          <w:szCs w:val="24"/>
        </w:rPr>
        <w:t>oito</w:t>
      </w:r>
      <w:r w:rsidRPr="000C27D0">
        <w:rPr>
          <w:rFonts w:ascii="Calibri" w:hAnsi="Calibri" w:cs="Calibri"/>
          <w:sz w:val="24"/>
          <w:szCs w:val="24"/>
        </w:rPr>
        <w:t>).</w:t>
      </w:r>
      <w:bookmarkStart w:id="0" w:name="_GoBack"/>
      <w:bookmarkEnd w:id="0"/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4030D9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>Presidente</w:t>
      </w:r>
    </w:p>
    <w:p w:rsidR="00845D08" w:rsidRDefault="00845D08" w:rsidP="00845D08">
      <w:pPr>
        <w:jc w:val="both"/>
        <w:rPr>
          <w:rFonts w:ascii="Calibri" w:hAnsi="Calibri" w:cs="Calibri"/>
          <w:sz w:val="22"/>
          <w:szCs w:val="22"/>
        </w:rPr>
      </w:pPr>
    </w:p>
    <w:p w:rsidR="00845D08" w:rsidRPr="000C27D0" w:rsidRDefault="00845D08" w:rsidP="00845D08">
      <w:pPr>
        <w:jc w:val="both"/>
        <w:rPr>
          <w:rFonts w:ascii="Calibri" w:hAnsi="Calibri" w:cs="Calibri"/>
          <w:sz w:val="22"/>
          <w:szCs w:val="22"/>
        </w:rPr>
      </w:pPr>
      <w:r w:rsidRPr="000C27D0">
        <w:rPr>
          <w:rFonts w:ascii="Calibri" w:hAnsi="Calibri" w:cs="Calibri"/>
          <w:sz w:val="22"/>
          <w:szCs w:val="22"/>
        </w:rPr>
        <w:t>Publicado na Câmara Municipal de Araraquara, na mesma data</w:t>
      </w:r>
    </w:p>
    <w:p w:rsidR="00C06142" w:rsidRPr="009D0CF1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9D0CF1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090633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C06142" w:rsidRPr="000C27D0" w:rsidRDefault="00090633" w:rsidP="00393C4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</w:t>
      </w:r>
      <w:r w:rsidR="00C06142" w:rsidRPr="000C27D0">
        <w:rPr>
          <w:rFonts w:ascii="Calibri" w:hAnsi="Calibri" w:cs="Calibri"/>
          <w:sz w:val="24"/>
          <w:szCs w:val="24"/>
        </w:rPr>
        <w:t>Geral</w:t>
      </w:r>
    </w:p>
    <w:sectPr w:rsidR="00C06142" w:rsidRPr="000C27D0" w:rsidSect="000C27D0">
      <w:pgSz w:w="11907" w:h="16840" w:code="9"/>
      <w:pgMar w:top="85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829ED"/>
    <w:multiLevelType w:val="hybridMultilevel"/>
    <w:tmpl w:val="4942D3A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DF0"/>
    <w:rsid w:val="00030E36"/>
    <w:rsid w:val="0007746F"/>
    <w:rsid w:val="000864C1"/>
    <w:rsid w:val="000874E7"/>
    <w:rsid w:val="00090633"/>
    <w:rsid w:val="000C27D0"/>
    <w:rsid w:val="000C46FF"/>
    <w:rsid w:val="000D75D5"/>
    <w:rsid w:val="001059A9"/>
    <w:rsid w:val="00113109"/>
    <w:rsid w:val="00120CE3"/>
    <w:rsid w:val="00177957"/>
    <w:rsid w:val="00186E8A"/>
    <w:rsid w:val="001A5003"/>
    <w:rsid w:val="001D6DF0"/>
    <w:rsid w:val="002003F8"/>
    <w:rsid w:val="00202441"/>
    <w:rsid w:val="00254F8F"/>
    <w:rsid w:val="002B3B61"/>
    <w:rsid w:val="002D5B96"/>
    <w:rsid w:val="002F0801"/>
    <w:rsid w:val="002F3F4E"/>
    <w:rsid w:val="00321B5D"/>
    <w:rsid w:val="0035212C"/>
    <w:rsid w:val="00393C44"/>
    <w:rsid w:val="003B5389"/>
    <w:rsid w:val="003C0EF2"/>
    <w:rsid w:val="003D7273"/>
    <w:rsid w:val="003E236E"/>
    <w:rsid w:val="003F2DCE"/>
    <w:rsid w:val="004030D9"/>
    <w:rsid w:val="00481006"/>
    <w:rsid w:val="004A7B25"/>
    <w:rsid w:val="00503C43"/>
    <w:rsid w:val="005462DF"/>
    <w:rsid w:val="00572E2A"/>
    <w:rsid w:val="005771A2"/>
    <w:rsid w:val="0058573F"/>
    <w:rsid w:val="005E59C1"/>
    <w:rsid w:val="006405C5"/>
    <w:rsid w:val="006511A5"/>
    <w:rsid w:val="00652DB3"/>
    <w:rsid w:val="0069310C"/>
    <w:rsid w:val="006C6070"/>
    <w:rsid w:val="006C70A3"/>
    <w:rsid w:val="006D5CAD"/>
    <w:rsid w:val="00764E18"/>
    <w:rsid w:val="007B71A6"/>
    <w:rsid w:val="007D1251"/>
    <w:rsid w:val="00804DC2"/>
    <w:rsid w:val="00807BD6"/>
    <w:rsid w:val="00814EC1"/>
    <w:rsid w:val="00827E3D"/>
    <w:rsid w:val="00830349"/>
    <w:rsid w:val="0083470E"/>
    <w:rsid w:val="008357FF"/>
    <w:rsid w:val="00845D08"/>
    <w:rsid w:val="0085447E"/>
    <w:rsid w:val="00886DA5"/>
    <w:rsid w:val="008963EF"/>
    <w:rsid w:val="008A4DD8"/>
    <w:rsid w:val="008C1F46"/>
    <w:rsid w:val="00997596"/>
    <w:rsid w:val="009B5943"/>
    <w:rsid w:val="009D0CF1"/>
    <w:rsid w:val="009D3739"/>
    <w:rsid w:val="009E1277"/>
    <w:rsid w:val="009F6443"/>
    <w:rsid w:val="00A10041"/>
    <w:rsid w:val="00A46F1C"/>
    <w:rsid w:val="00A55780"/>
    <w:rsid w:val="00A83EC7"/>
    <w:rsid w:val="00AB1722"/>
    <w:rsid w:val="00AF57BF"/>
    <w:rsid w:val="00AF5E0F"/>
    <w:rsid w:val="00B45BE9"/>
    <w:rsid w:val="00B45F7E"/>
    <w:rsid w:val="00B46F24"/>
    <w:rsid w:val="00B71A08"/>
    <w:rsid w:val="00B75EF4"/>
    <w:rsid w:val="00B87A22"/>
    <w:rsid w:val="00BF6266"/>
    <w:rsid w:val="00C06142"/>
    <w:rsid w:val="00C207D2"/>
    <w:rsid w:val="00C67339"/>
    <w:rsid w:val="00C849E3"/>
    <w:rsid w:val="00CA15BD"/>
    <w:rsid w:val="00D52C41"/>
    <w:rsid w:val="00DC3E10"/>
    <w:rsid w:val="00DE2CC1"/>
    <w:rsid w:val="00E27D98"/>
    <w:rsid w:val="00E34131"/>
    <w:rsid w:val="00E76994"/>
    <w:rsid w:val="00EF4BC6"/>
    <w:rsid w:val="00F009C5"/>
    <w:rsid w:val="00F40AD0"/>
    <w:rsid w:val="00F57C4E"/>
    <w:rsid w:val="00FB31F2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7D7D6EE-A6DD-4A48-AC74-A831323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18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64E18"/>
    <w:pPr>
      <w:keepNext/>
      <w:ind w:left="3762" w:right="-376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4E18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64E1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764E18"/>
    <w:rPr>
      <w:rFonts w:ascii="Cambria" w:hAnsi="Cambria" w:cs="Cambria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1A5003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120CE3"/>
    <w:pPr>
      <w:autoSpaceDE/>
      <w:autoSpaceDN/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2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0D7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75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1866</Words>
  <Characters>10081</Characters>
  <Application>Microsoft Office Word</Application>
  <DocSecurity>0</DocSecurity>
  <Lines>84</Lines>
  <Paragraphs>23</Paragraphs>
  <ScaleCrop>false</ScaleCrop>
  <Company>Camara Municipal Araraquara</Company>
  <LinksUpToDate>false</LinksUpToDate>
  <CharactersWithSpaces>11924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38</cp:revision>
  <cp:lastPrinted>2015-09-30T00:32:00Z</cp:lastPrinted>
  <dcterms:created xsi:type="dcterms:W3CDTF">2015-04-01T13:38:00Z</dcterms:created>
  <dcterms:modified xsi:type="dcterms:W3CDTF">2018-10-09T21:34:00Z</dcterms:modified>
</cp:coreProperties>
</file>