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 w:rsidR="00F3560E">
        <w:rPr>
          <w:rFonts w:asciiTheme="minorHAnsi" w:hAnsiTheme="minorHAnsi" w:cs="Arial"/>
          <w:b/>
          <w:bCs/>
          <w:sz w:val="32"/>
          <w:szCs w:val="32"/>
        </w:rPr>
        <w:t xml:space="preserve"> 01 </w:t>
      </w:r>
      <w:bookmarkStart w:id="0" w:name="_GoBack"/>
      <w:bookmarkEnd w:id="0"/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EC2459">
        <w:rPr>
          <w:rFonts w:asciiTheme="minorHAnsi" w:hAnsiTheme="minorHAnsi" w:cs="Arial"/>
          <w:b/>
          <w:bCs/>
          <w:sz w:val="32"/>
          <w:szCs w:val="32"/>
        </w:rPr>
        <w:t>22</w:t>
      </w:r>
      <w:r w:rsidR="00277567">
        <w:rPr>
          <w:rFonts w:asciiTheme="minorHAnsi" w:hAnsiTheme="minorHAnsi" w:cs="Arial"/>
          <w:b/>
          <w:bCs/>
          <w:sz w:val="32"/>
          <w:szCs w:val="32"/>
        </w:rPr>
        <w:t>5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6433AC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69347A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277567">
        <w:rPr>
          <w:rFonts w:ascii="Arial" w:hAnsi="Arial" w:cs="Arial"/>
          <w:bCs/>
          <w:sz w:val="24"/>
          <w:szCs w:val="24"/>
        </w:rPr>
        <w:t>O inciso III do</w:t>
      </w:r>
      <w:r w:rsidR="00EC2459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27756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934FE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do Projeto de Lei nº </w:t>
      </w:r>
      <w:r w:rsidR="00EC2459">
        <w:rPr>
          <w:rFonts w:ascii="Arial" w:hAnsi="Arial" w:cs="Arial"/>
          <w:bCs/>
          <w:sz w:val="24"/>
          <w:szCs w:val="24"/>
        </w:rPr>
        <w:t>22</w:t>
      </w:r>
      <w:r w:rsidR="00277567">
        <w:rPr>
          <w:rFonts w:ascii="Arial" w:hAnsi="Arial" w:cs="Arial"/>
          <w:bCs/>
          <w:sz w:val="24"/>
          <w:szCs w:val="24"/>
        </w:rPr>
        <w:t>5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6433AC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277567">
        <w:rPr>
          <w:rFonts w:ascii="Arial" w:hAnsi="Arial" w:cs="Arial"/>
          <w:bCs/>
          <w:sz w:val="24"/>
          <w:szCs w:val="24"/>
        </w:rPr>
        <w:t xml:space="preserve"> passa a vigorar com a seguinte redação:</w:t>
      </w:r>
    </w:p>
    <w:p w:rsidR="00277567" w:rsidRDefault="00277567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“Art. 4º ...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69347A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277567">
        <w:rPr>
          <w:rFonts w:ascii="Arial" w:hAnsi="Arial" w:cs="Arial"/>
          <w:bCs/>
          <w:sz w:val="24"/>
          <w:szCs w:val="24"/>
        </w:rPr>
        <w:t>III – cláusula especificando que, em caso de recuperação judicial, falência, extinção ou liquidação das empresas donatárias, terá o Município direito de preferência em relação ao imóvel doado;</w:t>
      </w:r>
      <w:r>
        <w:rPr>
          <w:rFonts w:ascii="Arial" w:hAnsi="Arial" w:cs="Arial"/>
          <w:bCs/>
          <w:sz w:val="24"/>
          <w:szCs w:val="24"/>
        </w:rPr>
        <w:t>”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277567" w:rsidRPr="008A0A93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6E" w:rsidRDefault="00197A6E" w:rsidP="009E0C3A">
      <w:r>
        <w:separator/>
      </w:r>
    </w:p>
  </w:endnote>
  <w:endnote w:type="continuationSeparator" w:id="0">
    <w:p w:rsidR="00197A6E" w:rsidRDefault="00197A6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6E" w:rsidRDefault="00197A6E" w:rsidP="009E0C3A">
      <w:r>
        <w:separator/>
      </w:r>
    </w:p>
  </w:footnote>
  <w:footnote w:type="continuationSeparator" w:id="0">
    <w:p w:rsidR="00197A6E" w:rsidRDefault="00197A6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77567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433AC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E34A8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34FE6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C2459"/>
    <w:rsid w:val="00EC6F48"/>
    <w:rsid w:val="00EE21F9"/>
    <w:rsid w:val="00EF4E32"/>
    <w:rsid w:val="00F072B3"/>
    <w:rsid w:val="00F13981"/>
    <w:rsid w:val="00F25573"/>
    <w:rsid w:val="00F32128"/>
    <w:rsid w:val="00F3560E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15</cp:revision>
  <cp:lastPrinted>2017-09-22T19:26:00Z</cp:lastPrinted>
  <dcterms:created xsi:type="dcterms:W3CDTF">2018-09-11T14:30:00Z</dcterms:created>
  <dcterms:modified xsi:type="dcterms:W3CDTF">2018-09-11T14:31:00Z</dcterms:modified>
</cp:coreProperties>
</file>