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E17990"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17990">
        <w:rPr>
          <w:rFonts w:ascii="Tahoma" w:hAnsi="Tahoma" w:cs="Tahoma"/>
          <w:b/>
          <w:sz w:val="32"/>
          <w:szCs w:val="32"/>
          <w:u w:val="single"/>
        </w:rPr>
        <w:t>219</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839BA">
        <w:rPr>
          <w:rFonts w:ascii="Tahoma" w:hAnsi="Tahoma" w:cs="Tahoma"/>
          <w:b/>
          <w:sz w:val="32"/>
          <w:szCs w:val="32"/>
          <w:u w:val="single"/>
        </w:rPr>
        <w:t>229</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839BA" w:rsidP="00FE3614">
      <w:pPr>
        <w:ind w:left="4536"/>
        <w:jc w:val="both"/>
        <w:rPr>
          <w:rFonts w:ascii="Calibri" w:hAnsi="Calibri" w:cs="Calibri"/>
          <w:sz w:val="22"/>
          <w:szCs w:val="22"/>
        </w:rPr>
      </w:pPr>
      <w:r w:rsidRPr="005839BA">
        <w:rPr>
          <w:rFonts w:ascii="Calibri" w:hAnsi="Calibri" w:cs="Calibri"/>
          <w:sz w:val="22"/>
          <w:szCs w:val="22"/>
        </w:rPr>
        <w:t xml:space="preserve">Dispõe sobre a autorização para a concessão de </w:t>
      </w:r>
      <w:r>
        <w:rPr>
          <w:rFonts w:ascii="Calibri" w:hAnsi="Calibri" w:cs="Calibri"/>
          <w:sz w:val="22"/>
          <w:szCs w:val="22"/>
        </w:rPr>
        <w:t>s</w:t>
      </w:r>
      <w:r w:rsidRPr="005839BA">
        <w:rPr>
          <w:rFonts w:ascii="Calibri" w:hAnsi="Calibri" w:cs="Calibri"/>
          <w:sz w:val="22"/>
          <w:szCs w:val="22"/>
        </w:rPr>
        <w:t xml:space="preserve">ubvenções </w:t>
      </w:r>
      <w:r>
        <w:rPr>
          <w:rFonts w:ascii="Calibri" w:hAnsi="Calibri" w:cs="Calibri"/>
          <w:sz w:val="22"/>
          <w:szCs w:val="22"/>
        </w:rPr>
        <w:t>s</w:t>
      </w:r>
      <w:r w:rsidRPr="005839BA">
        <w:rPr>
          <w:rFonts w:ascii="Calibri" w:hAnsi="Calibri" w:cs="Calibri"/>
          <w:sz w:val="22"/>
          <w:szCs w:val="22"/>
        </w:rPr>
        <w:t xml:space="preserve">ociais e </w:t>
      </w:r>
      <w:r>
        <w:rPr>
          <w:rFonts w:ascii="Calibri" w:hAnsi="Calibri" w:cs="Calibri"/>
          <w:sz w:val="22"/>
          <w:szCs w:val="22"/>
        </w:rPr>
        <w:t>a</w:t>
      </w:r>
      <w:r w:rsidRPr="005839BA">
        <w:rPr>
          <w:rFonts w:ascii="Calibri" w:hAnsi="Calibri" w:cs="Calibri"/>
          <w:sz w:val="22"/>
          <w:szCs w:val="22"/>
        </w:rPr>
        <w:t xml:space="preserve">uxílio às </w:t>
      </w:r>
      <w:r>
        <w:rPr>
          <w:rFonts w:ascii="Calibri" w:hAnsi="Calibri" w:cs="Calibri"/>
          <w:sz w:val="22"/>
          <w:szCs w:val="22"/>
        </w:rPr>
        <w:t>e</w:t>
      </w:r>
      <w:r w:rsidRPr="005839BA">
        <w:rPr>
          <w:rFonts w:ascii="Calibri" w:hAnsi="Calibri" w:cs="Calibri"/>
          <w:sz w:val="22"/>
          <w:szCs w:val="22"/>
        </w:rPr>
        <w:t xml:space="preserve">ntidades de </w:t>
      </w:r>
      <w:r>
        <w:rPr>
          <w:rFonts w:ascii="Calibri" w:hAnsi="Calibri" w:cs="Calibri"/>
          <w:sz w:val="22"/>
          <w:szCs w:val="22"/>
        </w:rPr>
        <w:t>a</w:t>
      </w:r>
      <w:r w:rsidRPr="005839BA">
        <w:rPr>
          <w:rFonts w:ascii="Calibri" w:hAnsi="Calibri" w:cs="Calibri"/>
          <w:sz w:val="22"/>
          <w:szCs w:val="22"/>
        </w:rPr>
        <w:t xml:space="preserve">ssistência </w:t>
      </w:r>
      <w:r>
        <w:rPr>
          <w:rFonts w:ascii="Calibri" w:hAnsi="Calibri" w:cs="Calibri"/>
          <w:sz w:val="22"/>
          <w:szCs w:val="22"/>
        </w:rPr>
        <w:t>s</w:t>
      </w:r>
      <w:r w:rsidRPr="005839BA">
        <w:rPr>
          <w:rFonts w:ascii="Calibri" w:hAnsi="Calibri" w:cs="Calibri"/>
          <w:sz w:val="22"/>
          <w:szCs w:val="22"/>
        </w:rPr>
        <w:t>ocial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Art. 1º Fica o Poder Executivo autorizado a abrir um </w:t>
      </w:r>
      <w:r>
        <w:rPr>
          <w:rFonts w:ascii="Calibri" w:hAnsi="Calibri" w:cs="Calibri"/>
          <w:sz w:val="24"/>
          <w:szCs w:val="22"/>
        </w:rPr>
        <w:t>c</w:t>
      </w:r>
      <w:r w:rsidR="005839BA" w:rsidRPr="005839BA">
        <w:rPr>
          <w:rFonts w:ascii="Calibri" w:hAnsi="Calibri" w:cs="Calibri"/>
          <w:sz w:val="24"/>
          <w:szCs w:val="22"/>
        </w:rPr>
        <w:t xml:space="preserve">rédito </w:t>
      </w:r>
      <w:r>
        <w:rPr>
          <w:rFonts w:ascii="Calibri" w:hAnsi="Calibri" w:cs="Calibri"/>
          <w:sz w:val="24"/>
          <w:szCs w:val="22"/>
        </w:rPr>
        <w:t>a</w:t>
      </w:r>
      <w:r w:rsidR="005839BA" w:rsidRPr="005839BA">
        <w:rPr>
          <w:rFonts w:ascii="Calibri" w:hAnsi="Calibri" w:cs="Calibri"/>
          <w:sz w:val="24"/>
          <w:szCs w:val="22"/>
        </w:rPr>
        <w:t xml:space="preserve">dicional </w:t>
      </w:r>
      <w:r>
        <w:rPr>
          <w:rFonts w:ascii="Calibri" w:hAnsi="Calibri" w:cs="Calibri"/>
          <w:sz w:val="24"/>
          <w:szCs w:val="22"/>
        </w:rPr>
        <w:t>s</w:t>
      </w:r>
      <w:r w:rsidR="005839BA" w:rsidRPr="005839BA">
        <w:rPr>
          <w:rFonts w:ascii="Calibri" w:hAnsi="Calibri" w:cs="Calibri"/>
          <w:sz w:val="24"/>
          <w:szCs w:val="22"/>
        </w:rPr>
        <w:t xml:space="preserve">uplementar, até o limite de R$ 79.487,32 (setenta e nove mil, quatrocentos e oitenta e sete reais e trinta e dois centavos), para liberação de </w:t>
      </w:r>
      <w:r>
        <w:rPr>
          <w:rFonts w:ascii="Calibri" w:hAnsi="Calibri" w:cs="Calibri"/>
          <w:sz w:val="24"/>
          <w:szCs w:val="22"/>
        </w:rPr>
        <w:t>s</w:t>
      </w:r>
      <w:r w:rsidR="005839BA" w:rsidRPr="005839BA">
        <w:rPr>
          <w:rFonts w:ascii="Calibri" w:hAnsi="Calibri" w:cs="Calibri"/>
          <w:sz w:val="24"/>
          <w:szCs w:val="22"/>
        </w:rPr>
        <w:t xml:space="preserve">ubvenções </w:t>
      </w:r>
      <w:r>
        <w:rPr>
          <w:rFonts w:ascii="Calibri" w:hAnsi="Calibri" w:cs="Calibri"/>
          <w:sz w:val="24"/>
          <w:szCs w:val="22"/>
        </w:rPr>
        <w:t>s</w:t>
      </w:r>
      <w:r w:rsidR="005839BA" w:rsidRPr="005839BA">
        <w:rPr>
          <w:rFonts w:ascii="Calibri" w:hAnsi="Calibri" w:cs="Calibri"/>
          <w:sz w:val="24"/>
          <w:szCs w:val="22"/>
        </w:rPr>
        <w:t xml:space="preserve">ociais e </w:t>
      </w:r>
      <w:r>
        <w:rPr>
          <w:rFonts w:ascii="Calibri" w:hAnsi="Calibri" w:cs="Calibri"/>
          <w:sz w:val="24"/>
          <w:szCs w:val="22"/>
        </w:rPr>
        <w:t>a</w:t>
      </w:r>
      <w:r w:rsidR="005839BA" w:rsidRPr="005839BA">
        <w:rPr>
          <w:rFonts w:ascii="Calibri" w:hAnsi="Calibri" w:cs="Calibri"/>
          <w:sz w:val="24"/>
          <w:szCs w:val="22"/>
        </w:rPr>
        <w:t xml:space="preserve">uxílio às </w:t>
      </w:r>
      <w:r>
        <w:rPr>
          <w:rFonts w:ascii="Calibri" w:hAnsi="Calibri" w:cs="Calibri"/>
          <w:sz w:val="24"/>
          <w:szCs w:val="22"/>
        </w:rPr>
        <w:t>e</w:t>
      </w:r>
      <w:r w:rsidR="005839BA" w:rsidRPr="005839BA">
        <w:rPr>
          <w:rFonts w:ascii="Calibri" w:hAnsi="Calibri" w:cs="Calibri"/>
          <w:sz w:val="24"/>
          <w:szCs w:val="22"/>
        </w:rPr>
        <w:t xml:space="preserve">ntidades de </w:t>
      </w:r>
      <w:r>
        <w:rPr>
          <w:rFonts w:ascii="Calibri" w:hAnsi="Calibri" w:cs="Calibri"/>
          <w:sz w:val="24"/>
          <w:szCs w:val="22"/>
        </w:rPr>
        <w:t>a</w:t>
      </w:r>
      <w:r w:rsidR="005839BA" w:rsidRPr="005839BA">
        <w:rPr>
          <w:rFonts w:ascii="Calibri" w:hAnsi="Calibri" w:cs="Calibri"/>
          <w:sz w:val="24"/>
          <w:szCs w:val="22"/>
        </w:rPr>
        <w:t xml:space="preserve">ssistência </w:t>
      </w:r>
      <w:r>
        <w:rPr>
          <w:rFonts w:ascii="Calibri" w:hAnsi="Calibri" w:cs="Calibri"/>
          <w:sz w:val="24"/>
          <w:szCs w:val="22"/>
        </w:rPr>
        <w:t>s</w:t>
      </w:r>
      <w:r w:rsidR="005839BA" w:rsidRPr="005839BA">
        <w:rPr>
          <w:rFonts w:ascii="Calibri" w:hAnsi="Calibri" w:cs="Calibri"/>
          <w:sz w:val="24"/>
          <w:szCs w:val="22"/>
        </w:rPr>
        <w:t xml:space="preserve">ocial, conforme demonstrativo abaixo: </w:t>
      </w:r>
    </w:p>
    <w:p w:rsidR="005839BA" w:rsidRDefault="005839BA" w:rsidP="005839BA">
      <w:pPr>
        <w:tabs>
          <w:tab w:val="left" w:pos="709"/>
          <w:tab w:val="left" w:pos="1418"/>
          <w:tab w:val="left" w:pos="2127"/>
          <w:tab w:val="left" w:pos="2835"/>
        </w:tabs>
        <w:jc w:val="both"/>
        <w:rPr>
          <w:rFonts w:ascii="Calibri" w:hAnsi="Calibri" w:cs="Calibri"/>
          <w:sz w:val="24"/>
          <w:szCs w:val="22"/>
        </w:rPr>
      </w:pPr>
    </w:p>
    <w:tbl>
      <w:tblPr>
        <w:tblW w:w="8789" w:type="dxa"/>
        <w:jc w:val="center"/>
        <w:tblLayout w:type="fixed"/>
        <w:tblCellMar>
          <w:left w:w="70" w:type="dxa"/>
          <w:right w:w="70" w:type="dxa"/>
        </w:tblCellMar>
        <w:tblLook w:val="04A0" w:firstRow="1" w:lastRow="0" w:firstColumn="1" w:lastColumn="0" w:noHBand="0" w:noVBand="1"/>
      </w:tblPr>
      <w:tblGrid>
        <w:gridCol w:w="2125"/>
        <w:gridCol w:w="4815"/>
        <w:gridCol w:w="425"/>
        <w:gridCol w:w="1424"/>
      </w:tblGrid>
      <w:tr w:rsidR="009A294E" w:rsidRPr="009A294E" w:rsidTr="009A294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02</w:t>
            </w:r>
          </w:p>
        </w:tc>
        <w:tc>
          <w:tcPr>
            <w:tcW w:w="6664" w:type="dxa"/>
            <w:gridSpan w:val="3"/>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PODER EXECUTIVO</w:t>
            </w:r>
          </w:p>
        </w:tc>
      </w:tr>
      <w:tr w:rsidR="009A294E" w:rsidRPr="009A294E" w:rsidTr="009A294E">
        <w:trPr>
          <w:trHeight w:val="295"/>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02.19</w:t>
            </w:r>
          </w:p>
        </w:tc>
        <w:tc>
          <w:tcPr>
            <w:tcW w:w="6664" w:type="dxa"/>
            <w:gridSpan w:val="3"/>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FUNDO MUNICIPAL DO IDOSO</w:t>
            </w:r>
          </w:p>
        </w:tc>
      </w:tr>
      <w:tr w:rsidR="009A294E" w:rsidRPr="009A294E" w:rsidTr="009A294E">
        <w:trPr>
          <w:trHeight w:val="270"/>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02.19.01</w:t>
            </w:r>
          </w:p>
        </w:tc>
        <w:tc>
          <w:tcPr>
            <w:tcW w:w="6664" w:type="dxa"/>
            <w:gridSpan w:val="3"/>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FUNDO MUNICIPAL DO IDOSO</w:t>
            </w:r>
          </w:p>
        </w:tc>
      </w:tr>
      <w:tr w:rsidR="009A294E" w:rsidRPr="009A294E" w:rsidTr="009A294E">
        <w:trPr>
          <w:cantSplit/>
          <w:trHeight w:val="267"/>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FUNCIONAL PROGRAMÁTICA</w:t>
            </w:r>
          </w:p>
        </w:tc>
      </w:tr>
      <w:tr w:rsidR="009A294E" w:rsidRPr="009A294E" w:rsidTr="009A294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08</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r>
      <w:tr w:rsidR="009A294E" w:rsidRPr="009A294E" w:rsidTr="009A294E">
        <w:trPr>
          <w:cantSplit/>
          <w:trHeight w:val="267"/>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08.241</w:t>
            </w:r>
          </w:p>
        </w:tc>
        <w:tc>
          <w:tcPr>
            <w:tcW w:w="481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ASSISTÊNCIA AO IDOSO</w:t>
            </w:r>
          </w:p>
        </w:tc>
        <w:tc>
          <w:tcPr>
            <w:tcW w:w="42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u w:val="single"/>
              </w:rPr>
            </w:pPr>
          </w:p>
        </w:tc>
      </w:tr>
      <w:tr w:rsidR="009A294E" w:rsidRPr="009A294E" w:rsidTr="009A294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08.241.037</w:t>
            </w:r>
          </w:p>
        </w:tc>
        <w:tc>
          <w:tcPr>
            <w:tcW w:w="481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SISTEMA DE GARANTIA DOS DIREITOS DOS IDOSOS</w:t>
            </w:r>
          </w:p>
        </w:tc>
        <w:tc>
          <w:tcPr>
            <w:tcW w:w="42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u w:val="single"/>
              </w:rPr>
            </w:pPr>
          </w:p>
        </w:tc>
      </w:tr>
      <w:tr w:rsidR="009A294E" w:rsidRPr="009A294E" w:rsidTr="009A294E">
        <w:trPr>
          <w:cantSplit/>
          <w:trHeight w:val="28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08.241.037.2</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ATIVIDADES</w:t>
            </w:r>
          </w:p>
        </w:tc>
        <w:tc>
          <w:tcPr>
            <w:tcW w:w="42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u w:val="single"/>
              </w:rPr>
            </w:pPr>
          </w:p>
        </w:tc>
      </w:tr>
      <w:tr w:rsidR="009A294E" w:rsidRPr="009A294E" w:rsidTr="009A294E">
        <w:trPr>
          <w:cantSplit/>
          <w:trHeight w:val="240"/>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08.241.037.2.064</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SUBVENÇÕES E AUXÍLIOS ÀS ENTIDADES REGISTRADAS NO CONSELHO</w:t>
            </w:r>
          </w:p>
        </w:tc>
        <w:tc>
          <w:tcPr>
            <w:tcW w:w="4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right"/>
              <w:rPr>
                <w:rFonts w:ascii="Calibri" w:hAnsi="Calibri" w:cs="Calibri"/>
                <w:sz w:val="24"/>
                <w:szCs w:val="24"/>
              </w:rPr>
            </w:pPr>
            <w:r w:rsidRPr="009A294E">
              <w:rPr>
                <w:rFonts w:ascii="Calibri" w:hAnsi="Calibri" w:cs="Calibri"/>
                <w:bCs/>
                <w:sz w:val="24"/>
                <w:szCs w:val="24"/>
              </w:rPr>
              <w:t>79.487,32</w:t>
            </w:r>
          </w:p>
        </w:tc>
      </w:tr>
      <w:tr w:rsidR="009A294E" w:rsidRPr="009A294E" w:rsidTr="009A294E">
        <w:trPr>
          <w:cantSplit/>
          <w:trHeight w:val="206"/>
          <w:jc w:val="center"/>
        </w:trPr>
        <w:tc>
          <w:tcPr>
            <w:tcW w:w="8789" w:type="dxa"/>
            <w:gridSpan w:val="4"/>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bCs/>
                <w:sz w:val="24"/>
                <w:szCs w:val="24"/>
              </w:rPr>
            </w:pPr>
            <w:r w:rsidRPr="009A294E">
              <w:rPr>
                <w:rFonts w:ascii="Calibri" w:hAnsi="Calibri" w:cs="Calibri"/>
                <w:bCs/>
                <w:sz w:val="24"/>
                <w:szCs w:val="24"/>
              </w:rPr>
              <w:t>CATEGORIA ECONÔMICA</w:t>
            </w:r>
          </w:p>
        </w:tc>
      </w:tr>
      <w:tr w:rsidR="009A294E" w:rsidRPr="009A294E" w:rsidTr="009A294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3.3.50.43</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SUBVENÇÕES SOCIAIS</w:t>
            </w:r>
          </w:p>
        </w:tc>
        <w:tc>
          <w:tcPr>
            <w:tcW w:w="4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right"/>
              <w:rPr>
                <w:rFonts w:ascii="Calibri" w:hAnsi="Calibri" w:cs="Calibri"/>
                <w:sz w:val="24"/>
                <w:szCs w:val="24"/>
              </w:rPr>
            </w:pPr>
            <w:r w:rsidRPr="009A294E">
              <w:rPr>
                <w:rFonts w:ascii="Calibri" w:hAnsi="Calibri" w:cs="Calibri"/>
                <w:sz w:val="24"/>
                <w:szCs w:val="24"/>
              </w:rPr>
              <w:t>62.642,32</w:t>
            </w:r>
          </w:p>
        </w:tc>
      </w:tr>
      <w:tr w:rsidR="009A294E" w:rsidRPr="009A294E" w:rsidTr="009A294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4.4.50.42</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AUXÍLIO</w:t>
            </w:r>
          </w:p>
        </w:tc>
        <w:tc>
          <w:tcPr>
            <w:tcW w:w="4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R$</w:t>
            </w: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right"/>
              <w:rPr>
                <w:rFonts w:ascii="Calibri" w:hAnsi="Calibri" w:cs="Calibri"/>
                <w:sz w:val="24"/>
                <w:szCs w:val="24"/>
              </w:rPr>
            </w:pPr>
            <w:r w:rsidRPr="009A294E">
              <w:rPr>
                <w:rFonts w:ascii="Calibri" w:hAnsi="Calibri" w:cs="Calibri"/>
                <w:sz w:val="24"/>
                <w:szCs w:val="24"/>
              </w:rPr>
              <w:t>16.845,00</w:t>
            </w:r>
          </w:p>
        </w:tc>
      </w:tr>
      <w:tr w:rsidR="009A294E" w:rsidRPr="009A294E" w:rsidTr="009A294E">
        <w:trPr>
          <w:cantSplit/>
          <w:trHeight w:val="224"/>
          <w:jc w:val="center"/>
        </w:trPr>
        <w:tc>
          <w:tcPr>
            <w:tcW w:w="212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FONTE DE RECURSOS</w:t>
            </w:r>
          </w:p>
        </w:tc>
        <w:tc>
          <w:tcPr>
            <w:tcW w:w="4815" w:type="dxa"/>
            <w:tcBorders>
              <w:top w:val="single" w:sz="4" w:space="0" w:color="auto"/>
              <w:left w:val="single" w:sz="4" w:space="0" w:color="auto"/>
              <w:bottom w:val="single" w:sz="4" w:space="0" w:color="auto"/>
              <w:right w:val="single" w:sz="4" w:space="0" w:color="auto"/>
            </w:tcBorders>
            <w:hideMark/>
          </w:tcPr>
          <w:p w:rsidR="009A294E" w:rsidRPr="009A294E" w:rsidRDefault="009A294E" w:rsidP="00B2096E">
            <w:pPr>
              <w:jc w:val="both"/>
              <w:rPr>
                <w:rFonts w:ascii="Calibri" w:hAnsi="Calibri" w:cs="Calibri"/>
                <w:sz w:val="24"/>
                <w:szCs w:val="24"/>
              </w:rPr>
            </w:pPr>
            <w:r w:rsidRPr="009A294E">
              <w:rPr>
                <w:rFonts w:ascii="Calibri" w:hAnsi="Calibri" w:cs="Calibri"/>
                <w:sz w:val="24"/>
                <w:szCs w:val="24"/>
              </w:rPr>
              <w:t xml:space="preserve">3 – RECURSOS PRÓPRIOS DE FUNDOS ESPECIAIS DE DESPESA-VINCULADOS  </w:t>
            </w:r>
          </w:p>
        </w:tc>
        <w:tc>
          <w:tcPr>
            <w:tcW w:w="425"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sz w:val="24"/>
                <w:szCs w:val="24"/>
              </w:rPr>
            </w:pPr>
          </w:p>
        </w:tc>
        <w:tc>
          <w:tcPr>
            <w:tcW w:w="1424" w:type="dxa"/>
            <w:tcBorders>
              <w:top w:val="single" w:sz="4" w:space="0" w:color="auto"/>
              <w:left w:val="single" w:sz="4" w:space="0" w:color="auto"/>
              <w:bottom w:val="single" w:sz="4" w:space="0" w:color="auto"/>
              <w:right w:val="single" w:sz="4" w:space="0" w:color="auto"/>
            </w:tcBorders>
          </w:tcPr>
          <w:p w:rsidR="009A294E" w:rsidRPr="009A294E" w:rsidRDefault="009A294E" w:rsidP="00B2096E">
            <w:pPr>
              <w:jc w:val="both"/>
              <w:rPr>
                <w:rFonts w:ascii="Calibri" w:hAnsi="Calibri" w:cs="Calibri"/>
                <w:bCs/>
                <w:sz w:val="24"/>
                <w:szCs w:val="24"/>
              </w:rPr>
            </w:pPr>
          </w:p>
        </w:tc>
      </w:tr>
    </w:tbl>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Art. 2º Fica o Poder Executivo autorizado a conceder, no corrente exercício, </w:t>
      </w:r>
      <w:r>
        <w:rPr>
          <w:rFonts w:ascii="Calibri" w:hAnsi="Calibri" w:cs="Calibri"/>
          <w:sz w:val="24"/>
          <w:szCs w:val="22"/>
        </w:rPr>
        <w:t>s</w:t>
      </w:r>
      <w:r w:rsidR="005839BA" w:rsidRPr="005839BA">
        <w:rPr>
          <w:rFonts w:ascii="Calibri" w:hAnsi="Calibri" w:cs="Calibri"/>
          <w:sz w:val="24"/>
          <w:szCs w:val="22"/>
        </w:rPr>
        <w:t xml:space="preserve">ubvenções </w:t>
      </w:r>
      <w:r>
        <w:rPr>
          <w:rFonts w:ascii="Calibri" w:hAnsi="Calibri" w:cs="Calibri"/>
          <w:sz w:val="24"/>
          <w:szCs w:val="22"/>
        </w:rPr>
        <w:t>s</w:t>
      </w:r>
      <w:r w:rsidR="005839BA" w:rsidRPr="005839BA">
        <w:rPr>
          <w:rFonts w:ascii="Calibri" w:hAnsi="Calibri" w:cs="Calibri"/>
          <w:sz w:val="24"/>
          <w:szCs w:val="22"/>
        </w:rPr>
        <w:t xml:space="preserve">ociais às </w:t>
      </w:r>
      <w:r>
        <w:rPr>
          <w:rFonts w:ascii="Calibri" w:hAnsi="Calibri" w:cs="Calibri"/>
          <w:sz w:val="24"/>
          <w:szCs w:val="22"/>
        </w:rPr>
        <w:t>e</w:t>
      </w:r>
      <w:r w:rsidR="005839BA" w:rsidRPr="005839BA">
        <w:rPr>
          <w:rFonts w:ascii="Calibri" w:hAnsi="Calibri" w:cs="Calibri"/>
          <w:sz w:val="24"/>
          <w:szCs w:val="22"/>
        </w:rPr>
        <w:t xml:space="preserve">ntidades de </w:t>
      </w:r>
      <w:r>
        <w:rPr>
          <w:rFonts w:ascii="Calibri" w:hAnsi="Calibri" w:cs="Calibri"/>
          <w:sz w:val="24"/>
          <w:szCs w:val="22"/>
        </w:rPr>
        <w:t>a</w:t>
      </w:r>
      <w:r w:rsidR="005839BA" w:rsidRPr="005839BA">
        <w:rPr>
          <w:rFonts w:ascii="Calibri" w:hAnsi="Calibri" w:cs="Calibri"/>
          <w:sz w:val="24"/>
          <w:szCs w:val="22"/>
        </w:rPr>
        <w:t xml:space="preserve">ssistência </w:t>
      </w:r>
      <w:r>
        <w:rPr>
          <w:rFonts w:ascii="Calibri" w:hAnsi="Calibri" w:cs="Calibri"/>
          <w:sz w:val="24"/>
          <w:szCs w:val="22"/>
        </w:rPr>
        <w:t>s</w:t>
      </w:r>
      <w:r w:rsidR="005839BA" w:rsidRPr="005839BA">
        <w:rPr>
          <w:rFonts w:ascii="Calibri" w:hAnsi="Calibri" w:cs="Calibri"/>
          <w:sz w:val="24"/>
          <w:szCs w:val="22"/>
        </w:rPr>
        <w:t xml:space="preserve">ocial, no valor de </w:t>
      </w:r>
      <w:r w:rsidR="005839BA" w:rsidRPr="00456483">
        <w:rPr>
          <w:rFonts w:ascii="Calibri" w:hAnsi="Calibri" w:cs="Calibri"/>
          <w:sz w:val="24"/>
          <w:szCs w:val="22"/>
        </w:rPr>
        <w:t>R$ 87.536,32</w:t>
      </w:r>
      <w:r w:rsidR="005839BA" w:rsidRPr="005839BA">
        <w:rPr>
          <w:rFonts w:ascii="Calibri" w:hAnsi="Calibri" w:cs="Calibri"/>
          <w:sz w:val="24"/>
          <w:szCs w:val="22"/>
        </w:rPr>
        <w:t xml:space="preserve"> (oitenta e sete mil, quinhentos e trinta e seis reais e trinta e dois centavos), destinadas à manutenção das mesmas, com despesas de custeio, conforme demonstrativo abaixo:</w:t>
      </w:r>
    </w:p>
    <w:p w:rsidR="005839BA" w:rsidRDefault="005839BA" w:rsidP="005839BA">
      <w:pPr>
        <w:tabs>
          <w:tab w:val="left" w:pos="709"/>
          <w:tab w:val="left" w:pos="1418"/>
          <w:tab w:val="left" w:pos="2127"/>
          <w:tab w:val="left" w:pos="2835"/>
        </w:tabs>
        <w:jc w:val="both"/>
        <w:rPr>
          <w:rFonts w:ascii="Calibri" w:hAnsi="Calibri" w:cs="Calibri"/>
          <w:sz w:val="24"/>
          <w:szCs w:val="22"/>
        </w:rPr>
      </w:pPr>
    </w:p>
    <w:tbl>
      <w:tblPr>
        <w:tblW w:w="8946" w:type="dxa"/>
        <w:tblInd w:w="55" w:type="dxa"/>
        <w:tblCellMar>
          <w:left w:w="70" w:type="dxa"/>
          <w:right w:w="70" w:type="dxa"/>
        </w:tblCellMar>
        <w:tblLook w:val="04A0" w:firstRow="1" w:lastRow="0" w:firstColumn="1" w:lastColumn="0" w:noHBand="0" w:noVBand="1"/>
      </w:tblPr>
      <w:tblGrid>
        <w:gridCol w:w="5260"/>
        <w:gridCol w:w="2220"/>
        <w:gridCol w:w="1466"/>
      </w:tblGrid>
      <w:tr w:rsidR="009A294E" w:rsidRPr="009A294E" w:rsidTr="009A294E">
        <w:trPr>
          <w:trHeight w:val="300"/>
        </w:trPr>
        <w:tc>
          <w:tcPr>
            <w:tcW w:w="5260" w:type="dxa"/>
            <w:tcBorders>
              <w:top w:val="single" w:sz="4" w:space="0" w:color="auto"/>
              <w:left w:val="single" w:sz="4" w:space="0" w:color="auto"/>
              <w:bottom w:val="single" w:sz="4" w:space="0" w:color="auto"/>
              <w:right w:val="single" w:sz="4" w:space="0" w:color="auto"/>
            </w:tcBorders>
            <w:noWrap/>
            <w:vAlign w:val="center"/>
            <w:hideMark/>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center"/>
            <w:hideMark/>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center"/>
            <w:hideMark/>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Valor</w:t>
            </w:r>
          </w:p>
        </w:tc>
      </w:tr>
      <w:tr w:rsidR="009A294E" w:rsidRPr="009A294E" w:rsidTr="009A294E">
        <w:trPr>
          <w:trHeight w:val="300"/>
        </w:trPr>
        <w:tc>
          <w:tcPr>
            <w:tcW w:w="5260" w:type="dxa"/>
            <w:tcBorders>
              <w:top w:val="nil"/>
              <w:left w:val="single" w:sz="4" w:space="0" w:color="auto"/>
              <w:bottom w:val="single" w:sz="4" w:space="0" w:color="auto"/>
              <w:right w:val="single" w:sz="4" w:space="0" w:color="auto"/>
            </w:tcBorders>
            <w:vAlign w:val="center"/>
          </w:tcPr>
          <w:p w:rsidR="009A294E" w:rsidRPr="009A294E" w:rsidRDefault="009A294E" w:rsidP="009A294E">
            <w:pPr>
              <w:rPr>
                <w:rFonts w:ascii="Calibri" w:hAnsi="Calibri" w:cs="Calibri"/>
                <w:color w:val="000000"/>
                <w:sz w:val="24"/>
                <w:szCs w:val="24"/>
              </w:rPr>
            </w:pPr>
            <w:r w:rsidRPr="009A294E">
              <w:rPr>
                <w:rFonts w:ascii="Calibri" w:hAnsi="Calibri" w:cs="Calibri"/>
                <w:color w:val="000000"/>
                <w:sz w:val="24"/>
                <w:szCs w:val="24"/>
              </w:rPr>
              <w:t>Lar São Francisco de Assis</w:t>
            </w:r>
          </w:p>
        </w:tc>
        <w:tc>
          <w:tcPr>
            <w:tcW w:w="2220" w:type="dxa"/>
            <w:tcBorders>
              <w:top w:val="nil"/>
              <w:left w:val="nil"/>
              <w:bottom w:val="single" w:sz="4" w:space="0" w:color="auto"/>
              <w:right w:val="single" w:sz="4" w:space="0" w:color="auto"/>
            </w:tcBorders>
            <w:noWrap/>
            <w:vAlign w:val="center"/>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43.962.323/0001-79</w:t>
            </w:r>
          </w:p>
        </w:tc>
        <w:tc>
          <w:tcPr>
            <w:tcW w:w="1466" w:type="dxa"/>
            <w:tcBorders>
              <w:top w:val="nil"/>
              <w:left w:val="nil"/>
              <w:bottom w:val="single" w:sz="4" w:space="0" w:color="auto"/>
              <w:right w:val="single" w:sz="4" w:space="0" w:color="auto"/>
            </w:tcBorders>
            <w:noWrap/>
            <w:vAlign w:val="center"/>
          </w:tcPr>
          <w:p w:rsidR="009A294E" w:rsidRPr="009A294E" w:rsidRDefault="009A294E" w:rsidP="00456483">
            <w:pPr>
              <w:jc w:val="center"/>
              <w:rPr>
                <w:rFonts w:ascii="Calibri" w:hAnsi="Calibri" w:cs="Calibri"/>
                <w:color w:val="000000"/>
                <w:sz w:val="24"/>
                <w:szCs w:val="24"/>
              </w:rPr>
            </w:pPr>
            <w:r w:rsidRPr="009A294E">
              <w:rPr>
                <w:rFonts w:ascii="Calibri" w:hAnsi="Calibri" w:cs="Calibri"/>
                <w:color w:val="000000"/>
                <w:sz w:val="24"/>
                <w:szCs w:val="24"/>
              </w:rPr>
              <w:t>51.</w:t>
            </w:r>
            <w:r w:rsidR="00456483">
              <w:rPr>
                <w:rFonts w:ascii="Calibri" w:hAnsi="Calibri" w:cs="Calibri"/>
                <w:color w:val="000000"/>
                <w:sz w:val="24"/>
                <w:szCs w:val="24"/>
              </w:rPr>
              <w:t>5</w:t>
            </w:r>
            <w:r w:rsidRPr="009A294E">
              <w:rPr>
                <w:rFonts w:ascii="Calibri" w:hAnsi="Calibri" w:cs="Calibri"/>
                <w:color w:val="000000"/>
                <w:sz w:val="24"/>
                <w:szCs w:val="24"/>
              </w:rPr>
              <w:t>36,32</w:t>
            </w:r>
          </w:p>
        </w:tc>
      </w:tr>
      <w:tr w:rsidR="009A294E" w:rsidRPr="009A294E" w:rsidTr="009A294E">
        <w:trPr>
          <w:trHeight w:val="600"/>
        </w:trPr>
        <w:tc>
          <w:tcPr>
            <w:tcW w:w="5260" w:type="dxa"/>
            <w:tcBorders>
              <w:top w:val="nil"/>
              <w:left w:val="single" w:sz="4" w:space="0" w:color="auto"/>
              <w:bottom w:val="single" w:sz="4" w:space="0" w:color="auto"/>
              <w:right w:val="single" w:sz="4" w:space="0" w:color="auto"/>
            </w:tcBorders>
            <w:vAlign w:val="center"/>
          </w:tcPr>
          <w:p w:rsidR="009A294E" w:rsidRPr="009A294E" w:rsidRDefault="009A294E" w:rsidP="009A294E">
            <w:pPr>
              <w:rPr>
                <w:rFonts w:ascii="Calibri" w:hAnsi="Calibri" w:cs="Calibri"/>
                <w:color w:val="000000"/>
                <w:sz w:val="24"/>
                <w:szCs w:val="24"/>
              </w:rPr>
            </w:pPr>
            <w:r w:rsidRPr="009A294E">
              <w:rPr>
                <w:rFonts w:ascii="Calibri" w:hAnsi="Calibri" w:cs="Calibri"/>
                <w:color w:val="000000"/>
                <w:sz w:val="24"/>
                <w:szCs w:val="24"/>
              </w:rPr>
              <w:t>Vila Vicentina – Obra Unida à Sociedade São Vicente de Paulo</w:t>
            </w:r>
          </w:p>
        </w:tc>
        <w:tc>
          <w:tcPr>
            <w:tcW w:w="2220" w:type="dxa"/>
            <w:tcBorders>
              <w:top w:val="nil"/>
              <w:left w:val="nil"/>
              <w:bottom w:val="single" w:sz="4" w:space="0" w:color="auto"/>
              <w:right w:val="single" w:sz="4" w:space="0" w:color="auto"/>
            </w:tcBorders>
            <w:noWrap/>
            <w:vAlign w:val="center"/>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45.747.003/0001-21</w:t>
            </w:r>
          </w:p>
        </w:tc>
        <w:tc>
          <w:tcPr>
            <w:tcW w:w="1466" w:type="dxa"/>
            <w:tcBorders>
              <w:top w:val="nil"/>
              <w:left w:val="nil"/>
              <w:bottom w:val="single" w:sz="4" w:space="0" w:color="auto"/>
              <w:right w:val="single" w:sz="4" w:space="0" w:color="auto"/>
            </w:tcBorders>
            <w:noWrap/>
            <w:vAlign w:val="center"/>
          </w:tcPr>
          <w:p w:rsidR="009A294E" w:rsidRPr="009A294E" w:rsidRDefault="009A294E" w:rsidP="009A294E">
            <w:pPr>
              <w:jc w:val="center"/>
              <w:rPr>
                <w:rFonts w:ascii="Calibri" w:hAnsi="Calibri" w:cs="Calibri"/>
                <w:color w:val="000000"/>
                <w:sz w:val="24"/>
                <w:szCs w:val="24"/>
              </w:rPr>
            </w:pPr>
            <w:r w:rsidRPr="009A294E">
              <w:rPr>
                <w:rFonts w:ascii="Calibri" w:hAnsi="Calibri" w:cs="Calibri"/>
                <w:color w:val="000000"/>
                <w:sz w:val="24"/>
                <w:szCs w:val="24"/>
              </w:rPr>
              <w:t>36.000,00</w:t>
            </w:r>
          </w:p>
        </w:tc>
      </w:tr>
    </w:tbl>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Art. 3º Fica o Poder Executivo autorizado a conceder no corrente exercício, </w:t>
      </w:r>
      <w:r>
        <w:rPr>
          <w:rFonts w:ascii="Calibri" w:hAnsi="Calibri" w:cs="Calibri"/>
          <w:sz w:val="24"/>
          <w:szCs w:val="22"/>
        </w:rPr>
        <w:t>a</w:t>
      </w:r>
      <w:r w:rsidR="005839BA" w:rsidRPr="005839BA">
        <w:rPr>
          <w:rFonts w:ascii="Calibri" w:hAnsi="Calibri" w:cs="Calibri"/>
          <w:sz w:val="24"/>
          <w:szCs w:val="22"/>
        </w:rPr>
        <w:t xml:space="preserve">uxílio às </w:t>
      </w:r>
      <w:r>
        <w:rPr>
          <w:rFonts w:ascii="Calibri" w:hAnsi="Calibri" w:cs="Calibri"/>
          <w:sz w:val="24"/>
          <w:szCs w:val="22"/>
        </w:rPr>
        <w:t>e</w:t>
      </w:r>
      <w:r w:rsidR="005839BA" w:rsidRPr="005839BA">
        <w:rPr>
          <w:rFonts w:ascii="Calibri" w:hAnsi="Calibri" w:cs="Calibri"/>
          <w:sz w:val="24"/>
          <w:szCs w:val="22"/>
        </w:rPr>
        <w:t xml:space="preserve">ntidades de </w:t>
      </w:r>
      <w:r>
        <w:rPr>
          <w:rFonts w:ascii="Calibri" w:hAnsi="Calibri" w:cs="Calibri"/>
          <w:sz w:val="24"/>
          <w:szCs w:val="22"/>
        </w:rPr>
        <w:t>a</w:t>
      </w:r>
      <w:r w:rsidR="005839BA" w:rsidRPr="005839BA">
        <w:rPr>
          <w:rFonts w:ascii="Calibri" w:hAnsi="Calibri" w:cs="Calibri"/>
          <w:sz w:val="24"/>
          <w:szCs w:val="22"/>
        </w:rPr>
        <w:t xml:space="preserve">ssistência </w:t>
      </w:r>
      <w:r>
        <w:rPr>
          <w:rFonts w:ascii="Calibri" w:hAnsi="Calibri" w:cs="Calibri"/>
          <w:sz w:val="24"/>
          <w:szCs w:val="22"/>
        </w:rPr>
        <w:t>s</w:t>
      </w:r>
      <w:r w:rsidR="005839BA" w:rsidRPr="005839BA">
        <w:rPr>
          <w:rFonts w:ascii="Calibri" w:hAnsi="Calibri" w:cs="Calibri"/>
          <w:sz w:val="24"/>
          <w:szCs w:val="22"/>
        </w:rPr>
        <w:t>ocial, no valor de R$ 21.845,00 (vinte e um mil, oitocentos e quarenta e cinco reais), destinados à aquisição de equipamentos, conforme demonstrativo abaixo:</w:t>
      </w:r>
    </w:p>
    <w:p w:rsidR="009B4EE7" w:rsidRDefault="009B4EE7" w:rsidP="005839BA">
      <w:pPr>
        <w:tabs>
          <w:tab w:val="left" w:pos="709"/>
          <w:tab w:val="left" w:pos="1418"/>
          <w:tab w:val="left" w:pos="2127"/>
          <w:tab w:val="left" w:pos="2835"/>
        </w:tabs>
        <w:jc w:val="both"/>
        <w:rPr>
          <w:rFonts w:ascii="Calibri" w:hAnsi="Calibri" w:cs="Calibri"/>
          <w:sz w:val="24"/>
          <w:szCs w:val="22"/>
        </w:rPr>
      </w:pPr>
    </w:p>
    <w:tbl>
      <w:tblPr>
        <w:tblW w:w="8946" w:type="dxa"/>
        <w:jc w:val="center"/>
        <w:tblCellMar>
          <w:left w:w="70" w:type="dxa"/>
          <w:right w:w="70" w:type="dxa"/>
        </w:tblCellMar>
        <w:tblLook w:val="04A0" w:firstRow="1" w:lastRow="0" w:firstColumn="1" w:lastColumn="0" w:noHBand="0" w:noVBand="1"/>
      </w:tblPr>
      <w:tblGrid>
        <w:gridCol w:w="5260"/>
        <w:gridCol w:w="2220"/>
        <w:gridCol w:w="1466"/>
      </w:tblGrid>
      <w:tr w:rsidR="003127F9" w:rsidRPr="003127F9" w:rsidTr="003127F9">
        <w:trPr>
          <w:trHeight w:val="300"/>
          <w:jc w:val="center"/>
        </w:trPr>
        <w:tc>
          <w:tcPr>
            <w:tcW w:w="5260" w:type="dxa"/>
            <w:tcBorders>
              <w:top w:val="single" w:sz="4" w:space="0" w:color="auto"/>
              <w:left w:val="single" w:sz="4" w:space="0" w:color="auto"/>
              <w:bottom w:val="single" w:sz="4" w:space="0" w:color="auto"/>
              <w:right w:val="single" w:sz="4" w:space="0" w:color="auto"/>
            </w:tcBorders>
            <w:noWrap/>
            <w:vAlign w:val="center"/>
            <w:hideMark/>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Entidade</w:t>
            </w:r>
          </w:p>
        </w:tc>
        <w:tc>
          <w:tcPr>
            <w:tcW w:w="2220" w:type="dxa"/>
            <w:tcBorders>
              <w:top w:val="single" w:sz="4" w:space="0" w:color="auto"/>
              <w:left w:val="nil"/>
              <w:bottom w:val="single" w:sz="4" w:space="0" w:color="auto"/>
              <w:right w:val="single" w:sz="4" w:space="0" w:color="auto"/>
            </w:tcBorders>
            <w:noWrap/>
            <w:vAlign w:val="center"/>
            <w:hideMark/>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CNPJ</w:t>
            </w:r>
          </w:p>
        </w:tc>
        <w:tc>
          <w:tcPr>
            <w:tcW w:w="1466" w:type="dxa"/>
            <w:tcBorders>
              <w:top w:val="single" w:sz="4" w:space="0" w:color="auto"/>
              <w:left w:val="nil"/>
              <w:bottom w:val="single" w:sz="4" w:space="0" w:color="auto"/>
              <w:right w:val="single" w:sz="4" w:space="0" w:color="auto"/>
            </w:tcBorders>
            <w:noWrap/>
            <w:vAlign w:val="center"/>
            <w:hideMark/>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Valor</w:t>
            </w:r>
          </w:p>
        </w:tc>
      </w:tr>
      <w:tr w:rsidR="003127F9" w:rsidRPr="003127F9" w:rsidTr="003127F9">
        <w:trPr>
          <w:trHeight w:val="300"/>
          <w:jc w:val="center"/>
        </w:trPr>
        <w:tc>
          <w:tcPr>
            <w:tcW w:w="5260" w:type="dxa"/>
            <w:tcBorders>
              <w:top w:val="nil"/>
              <w:left w:val="single" w:sz="4" w:space="0" w:color="auto"/>
              <w:bottom w:val="single" w:sz="4" w:space="0" w:color="auto"/>
              <w:right w:val="single" w:sz="4" w:space="0" w:color="auto"/>
            </w:tcBorders>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Lar São Francisco de Assis</w:t>
            </w:r>
          </w:p>
        </w:tc>
        <w:tc>
          <w:tcPr>
            <w:tcW w:w="2220" w:type="dxa"/>
            <w:tcBorders>
              <w:top w:val="nil"/>
              <w:left w:val="nil"/>
              <w:bottom w:val="single" w:sz="4" w:space="0" w:color="auto"/>
              <w:right w:val="single" w:sz="4" w:space="0" w:color="auto"/>
            </w:tcBorders>
            <w:noWrap/>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43.962.323/0001-79</w:t>
            </w:r>
          </w:p>
        </w:tc>
        <w:tc>
          <w:tcPr>
            <w:tcW w:w="1466" w:type="dxa"/>
            <w:tcBorders>
              <w:top w:val="nil"/>
              <w:left w:val="nil"/>
              <w:bottom w:val="single" w:sz="4" w:space="0" w:color="auto"/>
              <w:right w:val="single" w:sz="4" w:space="0" w:color="auto"/>
            </w:tcBorders>
            <w:noWrap/>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7.895,00</w:t>
            </w:r>
          </w:p>
        </w:tc>
      </w:tr>
      <w:tr w:rsidR="003127F9" w:rsidRPr="003127F9" w:rsidTr="003127F9">
        <w:trPr>
          <w:trHeight w:val="600"/>
          <w:jc w:val="center"/>
        </w:trPr>
        <w:tc>
          <w:tcPr>
            <w:tcW w:w="5260" w:type="dxa"/>
            <w:tcBorders>
              <w:top w:val="nil"/>
              <w:left w:val="single" w:sz="4" w:space="0" w:color="auto"/>
              <w:bottom w:val="single" w:sz="4" w:space="0" w:color="auto"/>
              <w:right w:val="single" w:sz="4" w:space="0" w:color="auto"/>
            </w:tcBorders>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Vila Vicentina – Obra Unida à Sociedade São Vicente de Paulo</w:t>
            </w:r>
          </w:p>
        </w:tc>
        <w:tc>
          <w:tcPr>
            <w:tcW w:w="2220" w:type="dxa"/>
            <w:tcBorders>
              <w:top w:val="nil"/>
              <w:left w:val="nil"/>
              <w:bottom w:val="single" w:sz="4" w:space="0" w:color="auto"/>
              <w:right w:val="single" w:sz="4" w:space="0" w:color="auto"/>
            </w:tcBorders>
            <w:noWrap/>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45.747.003/0001-21</w:t>
            </w:r>
          </w:p>
        </w:tc>
        <w:tc>
          <w:tcPr>
            <w:tcW w:w="1466" w:type="dxa"/>
            <w:tcBorders>
              <w:top w:val="nil"/>
              <w:left w:val="nil"/>
              <w:bottom w:val="single" w:sz="4" w:space="0" w:color="auto"/>
              <w:right w:val="single" w:sz="4" w:space="0" w:color="auto"/>
            </w:tcBorders>
            <w:noWrap/>
            <w:vAlign w:val="center"/>
          </w:tcPr>
          <w:p w:rsidR="003127F9" w:rsidRPr="003127F9" w:rsidRDefault="003127F9" w:rsidP="003127F9">
            <w:pPr>
              <w:jc w:val="center"/>
              <w:rPr>
                <w:rFonts w:ascii="Calibri" w:hAnsi="Calibri" w:cs="Calibri"/>
                <w:color w:val="000000"/>
                <w:sz w:val="24"/>
                <w:szCs w:val="24"/>
              </w:rPr>
            </w:pPr>
            <w:r w:rsidRPr="003127F9">
              <w:rPr>
                <w:rFonts w:ascii="Calibri" w:hAnsi="Calibri" w:cs="Calibri"/>
                <w:color w:val="000000"/>
                <w:sz w:val="24"/>
                <w:szCs w:val="24"/>
              </w:rPr>
              <w:t>13.950,00</w:t>
            </w:r>
          </w:p>
        </w:tc>
      </w:tr>
    </w:tbl>
    <w:p w:rsidR="003127F9" w:rsidRDefault="003127F9" w:rsidP="005839BA">
      <w:pPr>
        <w:tabs>
          <w:tab w:val="left" w:pos="709"/>
          <w:tab w:val="left" w:pos="1418"/>
          <w:tab w:val="left" w:pos="2127"/>
          <w:tab w:val="left" w:pos="2835"/>
        </w:tabs>
        <w:jc w:val="both"/>
        <w:rPr>
          <w:rFonts w:ascii="Calibri" w:hAnsi="Calibri" w:cs="Calibri"/>
          <w:sz w:val="24"/>
          <w:szCs w:val="22"/>
        </w:rPr>
      </w:pP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Art. 4º O crédito autorizado no </w:t>
      </w:r>
      <w:r>
        <w:rPr>
          <w:rFonts w:ascii="Calibri" w:hAnsi="Calibri" w:cs="Calibri"/>
          <w:sz w:val="24"/>
          <w:szCs w:val="22"/>
        </w:rPr>
        <w:t>a</w:t>
      </w:r>
      <w:r w:rsidR="005839BA" w:rsidRPr="005839BA">
        <w:rPr>
          <w:rFonts w:ascii="Calibri" w:hAnsi="Calibri" w:cs="Calibri"/>
          <w:sz w:val="24"/>
          <w:szCs w:val="22"/>
        </w:rPr>
        <w:t xml:space="preserve">rt. 1º desta </w:t>
      </w:r>
      <w:r>
        <w:rPr>
          <w:rFonts w:ascii="Calibri" w:hAnsi="Calibri" w:cs="Calibri"/>
          <w:sz w:val="24"/>
          <w:szCs w:val="22"/>
        </w:rPr>
        <w:t>l</w:t>
      </w:r>
      <w:r w:rsidR="005839BA" w:rsidRPr="005839BA">
        <w:rPr>
          <w:rFonts w:ascii="Calibri" w:hAnsi="Calibri" w:cs="Calibri"/>
          <w:sz w:val="24"/>
          <w:szCs w:val="22"/>
        </w:rPr>
        <w:t xml:space="preserve">ei será coberto através de excesso de arrecadação apurado no presente exercício, com os recursos oriundos de destinação do </w:t>
      </w:r>
      <w:r>
        <w:rPr>
          <w:rFonts w:ascii="Calibri" w:hAnsi="Calibri" w:cs="Calibri"/>
          <w:sz w:val="24"/>
          <w:szCs w:val="22"/>
        </w:rPr>
        <w:t>i</w:t>
      </w:r>
      <w:r w:rsidR="005839BA" w:rsidRPr="005839BA">
        <w:rPr>
          <w:rFonts w:ascii="Calibri" w:hAnsi="Calibri" w:cs="Calibri"/>
          <w:sz w:val="24"/>
          <w:szCs w:val="22"/>
        </w:rPr>
        <w:t xml:space="preserve">mposto de </w:t>
      </w:r>
      <w:r>
        <w:rPr>
          <w:rFonts w:ascii="Calibri" w:hAnsi="Calibri" w:cs="Calibri"/>
          <w:sz w:val="24"/>
          <w:szCs w:val="22"/>
        </w:rPr>
        <w:t>r</w:t>
      </w:r>
      <w:r w:rsidR="005839BA" w:rsidRPr="005839BA">
        <w:rPr>
          <w:rFonts w:ascii="Calibri" w:hAnsi="Calibri" w:cs="Calibri"/>
          <w:sz w:val="24"/>
          <w:szCs w:val="22"/>
        </w:rPr>
        <w:t>enda, através de Lei de Incentivos Fiscais, realizadas por pessoas jurídicas e físicas ao Fundo Municipal do Idoso de Araraquara.</w:t>
      </w:r>
    </w:p>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5º As entidades beneficiadas obr</w:t>
      </w:r>
      <w:r>
        <w:rPr>
          <w:rFonts w:ascii="Calibri" w:hAnsi="Calibri" w:cs="Calibri"/>
          <w:sz w:val="24"/>
          <w:szCs w:val="22"/>
        </w:rPr>
        <w:t>igam-se a utilizar dos recursos</w:t>
      </w:r>
      <w:r w:rsidR="005839BA" w:rsidRPr="005839BA">
        <w:rPr>
          <w:rFonts w:ascii="Calibri" w:hAnsi="Calibri" w:cs="Calibri"/>
          <w:sz w:val="24"/>
          <w:szCs w:val="22"/>
        </w:rPr>
        <w:t xml:space="preserve"> exclusivamente para o apresentado no </w:t>
      </w:r>
      <w:r>
        <w:rPr>
          <w:rFonts w:ascii="Calibri" w:hAnsi="Calibri" w:cs="Calibri"/>
          <w:sz w:val="24"/>
          <w:szCs w:val="22"/>
        </w:rPr>
        <w:t>plano de t</w:t>
      </w:r>
      <w:r w:rsidR="005839BA" w:rsidRPr="005839BA">
        <w:rPr>
          <w:rFonts w:ascii="Calibri" w:hAnsi="Calibri" w:cs="Calibri"/>
          <w:sz w:val="24"/>
          <w:szCs w:val="22"/>
        </w:rPr>
        <w:t>rabalho, previamente aprovado pelo Conselho Municipal do Idoso de Araraquara.</w:t>
      </w:r>
    </w:p>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Parágrafo único. Caso os recursos sejam utilizados em desacordo, poderão ser aplicadas as sanções descritas no </w:t>
      </w:r>
      <w:r>
        <w:rPr>
          <w:rFonts w:ascii="Calibri" w:hAnsi="Calibri" w:cs="Calibri"/>
          <w:sz w:val="24"/>
          <w:szCs w:val="22"/>
        </w:rPr>
        <w:t>a</w:t>
      </w:r>
      <w:r w:rsidR="005839BA" w:rsidRPr="005839BA">
        <w:rPr>
          <w:rFonts w:ascii="Calibri" w:hAnsi="Calibri" w:cs="Calibri"/>
          <w:sz w:val="24"/>
          <w:szCs w:val="22"/>
        </w:rPr>
        <w:t>rt. 73 da Lei Federal nº 13.019, de 31 de julho de 2014.</w:t>
      </w:r>
    </w:p>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6º O rep</w:t>
      </w:r>
      <w:r>
        <w:rPr>
          <w:rFonts w:ascii="Calibri" w:hAnsi="Calibri" w:cs="Calibri"/>
          <w:sz w:val="24"/>
          <w:szCs w:val="22"/>
        </w:rPr>
        <w:t>asse referido no art. 1º desta l</w:t>
      </w:r>
      <w:r w:rsidR="005839BA" w:rsidRPr="005839BA">
        <w:rPr>
          <w:rFonts w:ascii="Calibri" w:hAnsi="Calibri" w:cs="Calibri"/>
          <w:sz w:val="24"/>
          <w:szCs w:val="22"/>
        </w:rPr>
        <w:t>ei será efetuado pel</w:t>
      </w:r>
      <w:r>
        <w:rPr>
          <w:rFonts w:ascii="Calibri" w:hAnsi="Calibri" w:cs="Calibri"/>
          <w:sz w:val="24"/>
          <w:szCs w:val="22"/>
        </w:rPr>
        <w:t>o</w:t>
      </w:r>
      <w:r w:rsidR="005839BA" w:rsidRPr="005839BA">
        <w:rPr>
          <w:rFonts w:ascii="Calibri" w:hAnsi="Calibri" w:cs="Calibri"/>
          <w:sz w:val="24"/>
          <w:szCs w:val="22"/>
        </w:rPr>
        <w:t xml:space="preserve"> Poder Executivo através do Fundo Municipal do Idoso / Conselho Municipal do Idoso de Araraquara, consoante o orçamento vigente, dotação 257 – 19.01.335043.08.241.037.2.064 e 258 – 19.01.445042.037.2.064.</w:t>
      </w:r>
    </w:p>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7º O recurso financeiro poderá ser utilizado a partir de sua data de liberação, até o dia 31 de dezembro de 2018.</w:t>
      </w:r>
    </w:p>
    <w:p w:rsidR="009B4EE7" w:rsidRPr="005839BA" w:rsidRDefault="009B4EE7" w:rsidP="005839BA">
      <w:pPr>
        <w:tabs>
          <w:tab w:val="left" w:pos="709"/>
          <w:tab w:val="left" w:pos="1418"/>
          <w:tab w:val="left" w:pos="2127"/>
          <w:tab w:val="left" w:pos="2835"/>
        </w:tabs>
        <w:jc w:val="both"/>
        <w:rPr>
          <w:rFonts w:ascii="Calibri" w:hAnsi="Calibri" w:cs="Calibri"/>
          <w:sz w:val="24"/>
          <w:szCs w:val="22"/>
        </w:rPr>
      </w:pP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8º A entrega da prestação de contas deverá ser feita impreterivelmente até o dia 15 de janeiro de 2019, em duas vias de igual teor.</w:t>
      </w:r>
    </w:p>
    <w:p w:rsidR="009B4EE7" w:rsidRDefault="009B4EE7" w:rsidP="005839BA">
      <w:pPr>
        <w:tabs>
          <w:tab w:val="left" w:pos="709"/>
          <w:tab w:val="left" w:pos="1418"/>
          <w:tab w:val="left" w:pos="2127"/>
          <w:tab w:val="left" w:pos="2835"/>
        </w:tabs>
        <w:jc w:val="both"/>
        <w:rPr>
          <w:rFonts w:ascii="Calibri" w:hAnsi="Calibri" w:cs="Calibri"/>
          <w:sz w:val="24"/>
          <w:szCs w:val="22"/>
        </w:rPr>
      </w:pP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9º O processo de prestação de contas deverá ser montado obedecendo à sequência cronológica dos documentos, e conter:</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I -</w:t>
      </w:r>
      <w:r w:rsidR="005839BA" w:rsidRPr="005839BA">
        <w:rPr>
          <w:rFonts w:ascii="Calibri" w:hAnsi="Calibri" w:cs="Calibri"/>
          <w:sz w:val="24"/>
          <w:szCs w:val="22"/>
        </w:rPr>
        <w:t>ofício de encaminhamento da entidade, direcionado ao Prefeito, assinado pelo presidente em exercício da entidade;</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II - </w:t>
      </w:r>
      <w:r w:rsidR="005839BA" w:rsidRPr="005839BA">
        <w:rPr>
          <w:rFonts w:ascii="Calibri" w:hAnsi="Calibri" w:cs="Calibri"/>
          <w:sz w:val="24"/>
          <w:szCs w:val="22"/>
        </w:rPr>
        <w:t xml:space="preserve">declaração de utilidade </w:t>
      </w:r>
      <w:r>
        <w:rPr>
          <w:rFonts w:ascii="Calibri" w:hAnsi="Calibri" w:cs="Calibri"/>
          <w:sz w:val="24"/>
          <w:szCs w:val="22"/>
        </w:rPr>
        <w:t>p</w:t>
      </w:r>
      <w:r w:rsidR="005839BA" w:rsidRPr="005839BA">
        <w:rPr>
          <w:rFonts w:ascii="Calibri" w:hAnsi="Calibri" w:cs="Calibri"/>
          <w:sz w:val="24"/>
          <w:szCs w:val="22"/>
        </w:rPr>
        <w:t xml:space="preserve">ública </w:t>
      </w:r>
      <w:r>
        <w:rPr>
          <w:rFonts w:ascii="Calibri" w:hAnsi="Calibri" w:cs="Calibri"/>
          <w:sz w:val="24"/>
          <w:szCs w:val="22"/>
        </w:rPr>
        <w:t>m</w:t>
      </w:r>
      <w:r w:rsidR="005839BA" w:rsidRPr="005839BA">
        <w:rPr>
          <w:rFonts w:ascii="Calibri" w:hAnsi="Calibri" w:cs="Calibri"/>
          <w:sz w:val="24"/>
          <w:szCs w:val="22"/>
        </w:rPr>
        <w:t>unicipal;</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III -</w:t>
      </w:r>
      <w:r>
        <w:rPr>
          <w:rFonts w:ascii="Calibri" w:hAnsi="Calibri" w:cs="Calibri"/>
          <w:sz w:val="24"/>
          <w:szCs w:val="22"/>
        </w:rPr>
        <w:t xml:space="preserve"> </w:t>
      </w:r>
      <w:r w:rsidR="005839BA" w:rsidRPr="005839BA">
        <w:rPr>
          <w:rFonts w:ascii="Calibri" w:hAnsi="Calibri" w:cs="Calibri"/>
          <w:sz w:val="24"/>
          <w:szCs w:val="22"/>
        </w:rPr>
        <w:t xml:space="preserve">atestado de </w:t>
      </w:r>
      <w:r>
        <w:rPr>
          <w:rFonts w:ascii="Calibri" w:hAnsi="Calibri" w:cs="Calibri"/>
          <w:sz w:val="24"/>
          <w:szCs w:val="22"/>
        </w:rPr>
        <w:t>r</w:t>
      </w:r>
      <w:r w:rsidR="005839BA" w:rsidRPr="005839BA">
        <w:rPr>
          <w:rFonts w:ascii="Calibri" w:hAnsi="Calibri" w:cs="Calibri"/>
          <w:sz w:val="24"/>
          <w:szCs w:val="22"/>
        </w:rPr>
        <w:t xml:space="preserve">egular </w:t>
      </w:r>
      <w:r>
        <w:rPr>
          <w:rFonts w:ascii="Calibri" w:hAnsi="Calibri" w:cs="Calibri"/>
          <w:sz w:val="24"/>
          <w:szCs w:val="22"/>
        </w:rPr>
        <w:t>f</w:t>
      </w:r>
      <w:r w:rsidR="005839BA" w:rsidRPr="005839BA">
        <w:rPr>
          <w:rFonts w:ascii="Calibri" w:hAnsi="Calibri" w:cs="Calibri"/>
          <w:sz w:val="24"/>
          <w:szCs w:val="22"/>
        </w:rPr>
        <w:t>uncionamento, expedido por Juiz em exercício, no Fórum da Comarca de Araraquara;</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IV -</w:t>
      </w:r>
      <w:r>
        <w:rPr>
          <w:rFonts w:ascii="Calibri" w:hAnsi="Calibri" w:cs="Calibri"/>
          <w:sz w:val="24"/>
          <w:szCs w:val="22"/>
        </w:rPr>
        <w:t xml:space="preserve"> a</w:t>
      </w:r>
      <w:r w:rsidR="005839BA" w:rsidRPr="005839BA">
        <w:rPr>
          <w:rFonts w:ascii="Calibri" w:hAnsi="Calibri" w:cs="Calibri"/>
          <w:sz w:val="24"/>
          <w:szCs w:val="22"/>
        </w:rPr>
        <w:t>nexos 18 e 20 da Instrução Normativa nº 002/2016 do Tribunal de Contas do Estado de São Paulo com todas as assinaturas. Caso haja qualquer aditamento ou supressão da Instrução citada, assim como sua substituição, estarão em voga as normas indicadas pel</w:t>
      </w:r>
      <w:r>
        <w:rPr>
          <w:rFonts w:ascii="Calibri" w:hAnsi="Calibri" w:cs="Calibri"/>
          <w:sz w:val="24"/>
          <w:szCs w:val="22"/>
        </w:rPr>
        <w:t>a versão mais recente da mesma;</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V -</w:t>
      </w:r>
      <w:r>
        <w:rPr>
          <w:rFonts w:ascii="Calibri" w:hAnsi="Calibri" w:cs="Calibri"/>
          <w:sz w:val="24"/>
          <w:szCs w:val="22"/>
        </w:rPr>
        <w:t xml:space="preserve"> </w:t>
      </w:r>
      <w:r w:rsidR="005839BA" w:rsidRPr="005839BA">
        <w:rPr>
          <w:rFonts w:ascii="Calibri" w:hAnsi="Calibri" w:cs="Calibri"/>
          <w:sz w:val="24"/>
          <w:szCs w:val="22"/>
        </w:rPr>
        <w:t>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VI -</w:t>
      </w:r>
      <w:r>
        <w:rPr>
          <w:rFonts w:ascii="Calibri" w:hAnsi="Calibri" w:cs="Calibri"/>
          <w:sz w:val="24"/>
          <w:szCs w:val="22"/>
        </w:rPr>
        <w:t xml:space="preserve"> </w:t>
      </w:r>
      <w:r w:rsidR="005839BA" w:rsidRPr="005839BA">
        <w:rPr>
          <w:rFonts w:ascii="Calibri" w:hAnsi="Calibri" w:cs="Calibri"/>
          <w:sz w:val="24"/>
          <w:szCs w:val="22"/>
        </w:rPr>
        <w:t>cópias dos cheques emitidos nominalmente em favor dos favorecidos, ou comprovantes de transferências bancárias;</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VII -</w:t>
      </w:r>
      <w:r>
        <w:rPr>
          <w:rFonts w:ascii="Calibri" w:hAnsi="Calibri" w:cs="Calibri"/>
          <w:sz w:val="24"/>
          <w:szCs w:val="22"/>
        </w:rPr>
        <w:t xml:space="preserve"> </w:t>
      </w:r>
      <w:r w:rsidR="005839BA" w:rsidRPr="005839BA">
        <w:rPr>
          <w:rFonts w:ascii="Calibri" w:hAnsi="Calibri" w:cs="Calibri"/>
          <w:sz w:val="24"/>
          <w:szCs w:val="22"/>
        </w:rPr>
        <w:t>extrato bancário da conta específica, referente à movimentação dos recursos repassados;</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839BA" w:rsidRPr="005839BA">
        <w:rPr>
          <w:rFonts w:ascii="Calibri" w:hAnsi="Calibri" w:cs="Calibri"/>
          <w:sz w:val="24"/>
          <w:szCs w:val="22"/>
        </w:rPr>
        <w:t>VIII -</w:t>
      </w:r>
      <w:r>
        <w:rPr>
          <w:rFonts w:ascii="Calibri" w:hAnsi="Calibri" w:cs="Calibri"/>
          <w:sz w:val="24"/>
          <w:szCs w:val="22"/>
        </w:rPr>
        <w:t xml:space="preserve"> </w:t>
      </w:r>
      <w:r w:rsidR="005839BA" w:rsidRPr="005839BA">
        <w:rPr>
          <w:rFonts w:ascii="Calibri" w:hAnsi="Calibri" w:cs="Calibri"/>
          <w:sz w:val="24"/>
          <w:szCs w:val="22"/>
        </w:rPr>
        <w:t>cópias das GRF e GPS recolhidas durante o exercício, com os devidos comprovantes de pagamento;</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IX -</w:t>
      </w:r>
      <w:r>
        <w:rPr>
          <w:rFonts w:ascii="Calibri" w:hAnsi="Calibri" w:cs="Calibri"/>
          <w:sz w:val="24"/>
          <w:szCs w:val="22"/>
        </w:rPr>
        <w:t xml:space="preserve"> </w:t>
      </w:r>
      <w:r w:rsidR="005839BA" w:rsidRPr="005839BA">
        <w:rPr>
          <w:rFonts w:ascii="Calibri" w:hAnsi="Calibri" w:cs="Calibri"/>
          <w:sz w:val="24"/>
          <w:szCs w:val="22"/>
        </w:rPr>
        <w:t xml:space="preserve">cópia do </w:t>
      </w:r>
      <w:r>
        <w:rPr>
          <w:rFonts w:ascii="Calibri" w:hAnsi="Calibri" w:cs="Calibri"/>
          <w:sz w:val="24"/>
          <w:szCs w:val="22"/>
        </w:rPr>
        <w:t>e</w:t>
      </w:r>
      <w:r w:rsidR="005839BA" w:rsidRPr="005839BA">
        <w:rPr>
          <w:rFonts w:ascii="Calibri" w:hAnsi="Calibri" w:cs="Calibri"/>
          <w:sz w:val="24"/>
          <w:szCs w:val="22"/>
        </w:rPr>
        <w:t xml:space="preserve">statuto </w:t>
      </w:r>
      <w:r>
        <w:rPr>
          <w:rFonts w:ascii="Calibri" w:hAnsi="Calibri" w:cs="Calibri"/>
          <w:sz w:val="24"/>
          <w:szCs w:val="22"/>
        </w:rPr>
        <w:t>s</w:t>
      </w:r>
      <w:r w:rsidR="005839BA" w:rsidRPr="005839BA">
        <w:rPr>
          <w:rFonts w:ascii="Calibri" w:hAnsi="Calibri" w:cs="Calibri"/>
          <w:sz w:val="24"/>
          <w:szCs w:val="22"/>
        </w:rPr>
        <w:t>ocial da entidade;</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 -</w:t>
      </w:r>
      <w:r>
        <w:rPr>
          <w:rFonts w:ascii="Calibri" w:hAnsi="Calibri" w:cs="Calibri"/>
          <w:sz w:val="24"/>
          <w:szCs w:val="22"/>
        </w:rPr>
        <w:t xml:space="preserve"> </w:t>
      </w:r>
      <w:r w:rsidR="005839BA" w:rsidRPr="005839BA">
        <w:rPr>
          <w:rFonts w:ascii="Calibri" w:hAnsi="Calibri" w:cs="Calibri"/>
          <w:sz w:val="24"/>
          <w:szCs w:val="22"/>
        </w:rPr>
        <w:t xml:space="preserve">cópia da </w:t>
      </w:r>
      <w:r>
        <w:rPr>
          <w:rFonts w:ascii="Calibri" w:hAnsi="Calibri" w:cs="Calibri"/>
          <w:sz w:val="24"/>
          <w:szCs w:val="22"/>
        </w:rPr>
        <w:t>a</w:t>
      </w:r>
      <w:r w:rsidR="005839BA" w:rsidRPr="005839BA">
        <w:rPr>
          <w:rFonts w:ascii="Calibri" w:hAnsi="Calibri" w:cs="Calibri"/>
          <w:sz w:val="24"/>
          <w:szCs w:val="22"/>
        </w:rPr>
        <w:t xml:space="preserve">ta da </w:t>
      </w:r>
      <w:r>
        <w:rPr>
          <w:rFonts w:ascii="Calibri" w:hAnsi="Calibri" w:cs="Calibri"/>
          <w:sz w:val="24"/>
          <w:szCs w:val="22"/>
        </w:rPr>
        <w:t>e</w:t>
      </w:r>
      <w:r w:rsidR="005839BA" w:rsidRPr="005839BA">
        <w:rPr>
          <w:rFonts w:ascii="Calibri" w:hAnsi="Calibri" w:cs="Calibri"/>
          <w:sz w:val="24"/>
          <w:szCs w:val="22"/>
        </w:rPr>
        <w:t>leição da diretoria da entidade, assim como do conselho fiscal que atuou durante a gestão do recurso;</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XI -</w:t>
      </w:r>
      <w:r>
        <w:rPr>
          <w:rFonts w:ascii="Calibri" w:hAnsi="Calibri" w:cs="Calibri"/>
          <w:sz w:val="24"/>
          <w:szCs w:val="22"/>
        </w:rPr>
        <w:t xml:space="preserve"> </w:t>
      </w:r>
      <w:r w:rsidR="005839BA" w:rsidRPr="005839BA">
        <w:rPr>
          <w:rFonts w:ascii="Calibri" w:hAnsi="Calibri" w:cs="Calibri"/>
          <w:sz w:val="24"/>
          <w:szCs w:val="22"/>
        </w:rPr>
        <w:t>certidão expedida pelo Conselho Regional de Contabilidade – CRC comprovando a habilitação profissional do responsável pelas demonstrações contábeis da entidade;</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XII -</w:t>
      </w:r>
      <w:r>
        <w:rPr>
          <w:rFonts w:ascii="Calibri" w:hAnsi="Calibri" w:cs="Calibri"/>
          <w:sz w:val="24"/>
          <w:szCs w:val="22"/>
        </w:rPr>
        <w:t xml:space="preserve"> </w:t>
      </w:r>
      <w:r w:rsidR="005839BA" w:rsidRPr="005839BA">
        <w:rPr>
          <w:rFonts w:ascii="Calibri" w:hAnsi="Calibri" w:cs="Calibri"/>
          <w:sz w:val="24"/>
          <w:szCs w:val="22"/>
        </w:rPr>
        <w:t xml:space="preserve">cópia do </w:t>
      </w:r>
      <w:r>
        <w:rPr>
          <w:rFonts w:ascii="Calibri" w:hAnsi="Calibri" w:cs="Calibri"/>
          <w:sz w:val="24"/>
          <w:szCs w:val="22"/>
        </w:rPr>
        <w:t>balanço p</w:t>
      </w:r>
      <w:r w:rsidR="005839BA" w:rsidRPr="005839BA">
        <w:rPr>
          <w:rFonts w:ascii="Calibri" w:hAnsi="Calibri" w:cs="Calibri"/>
          <w:sz w:val="24"/>
          <w:szCs w:val="22"/>
        </w:rPr>
        <w:t xml:space="preserve">atrimonial e </w:t>
      </w:r>
      <w:r>
        <w:rPr>
          <w:rFonts w:ascii="Calibri" w:hAnsi="Calibri" w:cs="Calibri"/>
          <w:sz w:val="24"/>
          <w:szCs w:val="22"/>
        </w:rPr>
        <w:t>b</w:t>
      </w:r>
      <w:r w:rsidR="005839BA" w:rsidRPr="005839BA">
        <w:rPr>
          <w:rFonts w:ascii="Calibri" w:hAnsi="Calibri" w:cs="Calibri"/>
          <w:sz w:val="24"/>
          <w:szCs w:val="22"/>
        </w:rPr>
        <w:t xml:space="preserve">alanço </w:t>
      </w:r>
      <w:r>
        <w:rPr>
          <w:rFonts w:ascii="Calibri" w:hAnsi="Calibri" w:cs="Calibri"/>
          <w:sz w:val="24"/>
          <w:szCs w:val="22"/>
        </w:rPr>
        <w:t>f</w:t>
      </w:r>
      <w:r w:rsidR="005839BA" w:rsidRPr="005839BA">
        <w:rPr>
          <w:rFonts w:ascii="Calibri" w:hAnsi="Calibri" w:cs="Calibri"/>
          <w:sz w:val="24"/>
          <w:szCs w:val="22"/>
        </w:rPr>
        <w:t>inanceiro (demonstração da receita e despesa), referente ao exercício em que o numerário foi recebido;</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XIII -</w:t>
      </w:r>
      <w:r>
        <w:rPr>
          <w:rFonts w:ascii="Calibri" w:hAnsi="Calibri" w:cs="Calibri"/>
          <w:sz w:val="24"/>
          <w:szCs w:val="22"/>
        </w:rPr>
        <w:t xml:space="preserve"> </w:t>
      </w:r>
      <w:r w:rsidR="005839BA" w:rsidRPr="005839BA">
        <w:rPr>
          <w:rFonts w:ascii="Calibri" w:hAnsi="Calibri" w:cs="Calibri"/>
          <w:sz w:val="24"/>
          <w:szCs w:val="22"/>
        </w:rPr>
        <w:t>cópia do programa de trabalho proposto pela entidade;</w:t>
      </w:r>
    </w:p>
    <w:p w:rsidR="005839BA" w:rsidRP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XIV -</w:t>
      </w:r>
      <w:r>
        <w:rPr>
          <w:rFonts w:ascii="Calibri" w:hAnsi="Calibri" w:cs="Calibri"/>
          <w:sz w:val="24"/>
          <w:szCs w:val="22"/>
        </w:rPr>
        <w:t xml:space="preserve"> </w:t>
      </w:r>
      <w:r w:rsidR="005839BA" w:rsidRPr="005839BA">
        <w:rPr>
          <w:rFonts w:ascii="Calibri" w:hAnsi="Calibri" w:cs="Calibri"/>
          <w:sz w:val="24"/>
          <w:szCs w:val="22"/>
        </w:rPr>
        <w:t>relatório da entidade sobre as atividades desenvolvidas com utilização do recurso;</w:t>
      </w:r>
    </w:p>
    <w:p w:rsidR="005839BA" w:rsidRDefault="009B4EE7"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XV -</w:t>
      </w:r>
      <w:r>
        <w:rPr>
          <w:rFonts w:ascii="Calibri" w:hAnsi="Calibri" w:cs="Calibri"/>
          <w:sz w:val="24"/>
          <w:szCs w:val="22"/>
        </w:rPr>
        <w:t xml:space="preserve"> </w:t>
      </w:r>
      <w:r w:rsidR="005839BA" w:rsidRPr="005839BA">
        <w:rPr>
          <w:rFonts w:ascii="Calibri" w:hAnsi="Calibri" w:cs="Calibri"/>
          <w:sz w:val="24"/>
          <w:szCs w:val="22"/>
        </w:rPr>
        <w:t>numeração de todas as pá</w:t>
      </w:r>
      <w:r w:rsidR="000D09F4">
        <w:rPr>
          <w:rFonts w:ascii="Calibri" w:hAnsi="Calibri" w:cs="Calibri"/>
          <w:sz w:val="24"/>
          <w:szCs w:val="22"/>
        </w:rPr>
        <w:t>ginas no canto superior direito.</w:t>
      </w:r>
    </w:p>
    <w:p w:rsidR="000D09F4" w:rsidRPr="005839BA" w:rsidRDefault="000D09F4" w:rsidP="005839BA">
      <w:pPr>
        <w:tabs>
          <w:tab w:val="left" w:pos="709"/>
          <w:tab w:val="left" w:pos="1418"/>
          <w:tab w:val="left" w:pos="2127"/>
          <w:tab w:val="left" w:pos="2835"/>
        </w:tabs>
        <w:jc w:val="both"/>
        <w:rPr>
          <w:rFonts w:ascii="Calibri" w:hAnsi="Calibri" w:cs="Calibri"/>
          <w:sz w:val="24"/>
          <w:szCs w:val="22"/>
        </w:rPr>
      </w:pPr>
    </w:p>
    <w:p w:rsidR="005839BA" w:rsidRPr="005839BA" w:rsidRDefault="000D09F4"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1º O não cumprimento dos prazos acarretará em sanções à entidade conforme os dispositivos legais.</w:t>
      </w:r>
    </w:p>
    <w:p w:rsidR="000D09F4" w:rsidRDefault="000D09F4" w:rsidP="005839BA">
      <w:pPr>
        <w:tabs>
          <w:tab w:val="left" w:pos="709"/>
          <w:tab w:val="left" w:pos="1418"/>
          <w:tab w:val="left" w:pos="2127"/>
          <w:tab w:val="left" w:pos="2835"/>
        </w:tabs>
        <w:jc w:val="both"/>
        <w:rPr>
          <w:rFonts w:ascii="Calibri" w:hAnsi="Calibri" w:cs="Calibri"/>
          <w:sz w:val="24"/>
          <w:szCs w:val="22"/>
        </w:rPr>
      </w:pPr>
    </w:p>
    <w:p w:rsidR="005839BA" w:rsidRDefault="000D09F4"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 </w:t>
      </w:r>
      <w:r w:rsidR="005B6683">
        <w:rPr>
          <w:rFonts w:ascii="Calibri" w:hAnsi="Calibri" w:cs="Calibri"/>
          <w:sz w:val="24"/>
          <w:szCs w:val="22"/>
        </w:rPr>
        <w:t>2</w:t>
      </w:r>
      <w:r w:rsidR="005839BA" w:rsidRPr="005839BA">
        <w:rPr>
          <w:rFonts w:ascii="Calibri" w:hAnsi="Calibri" w:cs="Calibri"/>
          <w:sz w:val="24"/>
          <w:szCs w:val="22"/>
        </w:rPr>
        <w:t>º Caso exista saldo não utilizado o mesmo deverá ser restituído à Prefeitura do Município de Araraquara, Banco do Brasil S/A, agência 0082-5, conta corrente 88.868-0 (Fundo Municipal do Idoso de Araraquara) com identificação do CNPJ da entidade depositante.</w:t>
      </w:r>
    </w:p>
    <w:p w:rsidR="000D09F4" w:rsidRPr="005839BA" w:rsidRDefault="000D09F4" w:rsidP="005839BA">
      <w:pPr>
        <w:tabs>
          <w:tab w:val="left" w:pos="709"/>
          <w:tab w:val="left" w:pos="1418"/>
          <w:tab w:val="left" w:pos="2127"/>
          <w:tab w:val="left" w:pos="2835"/>
        </w:tabs>
        <w:jc w:val="both"/>
        <w:rPr>
          <w:rFonts w:ascii="Calibri" w:hAnsi="Calibri" w:cs="Calibri"/>
          <w:sz w:val="24"/>
          <w:szCs w:val="22"/>
        </w:rPr>
      </w:pPr>
    </w:p>
    <w:p w:rsidR="005839BA" w:rsidRPr="005839BA" w:rsidRDefault="000D09F4"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Art. 10. Fica incluído o presente crédito adicional suplementar na Lei nº 9.138, de 29 de novembro de 2017 (Plano Plurianual - PPA)</w:t>
      </w:r>
      <w:r>
        <w:rPr>
          <w:rFonts w:ascii="Calibri" w:hAnsi="Calibri" w:cs="Calibri"/>
          <w:sz w:val="24"/>
          <w:szCs w:val="22"/>
        </w:rPr>
        <w:t>,</w:t>
      </w:r>
      <w:r w:rsidR="005839BA" w:rsidRPr="005839BA">
        <w:rPr>
          <w:rFonts w:ascii="Calibri" w:hAnsi="Calibri" w:cs="Calibri"/>
          <w:sz w:val="24"/>
          <w:szCs w:val="22"/>
        </w:rPr>
        <w:t xml:space="preserve"> na Lei nº 9.008, de 22 de junho de 2017 (Lei de Diretrizes Orçamentárias - LDO)</w:t>
      </w:r>
      <w:r>
        <w:rPr>
          <w:rFonts w:ascii="Calibri" w:hAnsi="Calibri" w:cs="Calibri"/>
          <w:sz w:val="24"/>
          <w:szCs w:val="22"/>
        </w:rPr>
        <w:t>,</w:t>
      </w:r>
      <w:r w:rsidR="005839BA" w:rsidRPr="005839BA">
        <w:rPr>
          <w:rFonts w:ascii="Calibri" w:hAnsi="Calibri" w:cs="Calibri"/>
          <w:sz w:val="24"/>
          <w:szCs w:val="22"/>
        </w:rPr>
        <w:t xml:space="preserve"> e na Lei nº 9.145, de 06 de dezembro de 2017 (Lei Orçamentária Anual - LOA).</w:t>
      </w:r>
    </w:p>
    <w:p w:rsidR="000D09F4" w:rsidRDefault="000D09F4" w:rsidP="005839BA">
      <w:pPr>
        <w:tabs>
          <w:tab w:val="left" w:pos="709"/>
          <w:tab w:val="left" w:pos="1418"/>
          <w:tab w:val="left" w:pos="2127"/>
          <w:tab w:val="left" w:pos="2835"/>
        </w:tabs>
        <w:jc w:val="both"/>
        <w:rPr>
          <w:rFonts w:ascii="Calibri" w:hAnsi="Calibri" w:cs="Calibri"/>
          <w:sz w:val="24"/>
          <w:szCs w:val="22"/>
        </w:rPr>
      </w:pPr>
    </w:p>
    <w:p w:rsidR="006D45F8" w:rsidRDefault="000D09F4" w:rsidP="005839BA">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839BA" w:rsidRPr="005839BA">
        <w:rPr>
          <w:rFonts w:ascii="Calibri" w:hAnsi="Calibri" w:cs="Calibri"/>
          <w:sz w:val="24"/>
          <w:szCs w:val="22"/>
        </w:rPr>
        <w:t xml:space="preserve">Art. 11. Esta </w:t>
      </w:r>
      <w:r>
        <w:rPr>
          <w:rFonts w:ascii="Calibri" w:hAnsi="Calibri" w:cs="Calibri"/>
          <w:sz w:val="24"/>
          <w:szCs w:val="22"/>
        </w:rPr>
        <w:t>l</w:t>
      </w:r>
      <w:r w:rsidR="005839BA" w:rsidRPr="005839BA">
        <w:rPr>
          <w:rFonts w:ascii="Calibri" w:hAnsi="Calibri" w:cs="Calibri"/>
          <w:sz w:val="24"/>
          <w:szCs w:val="22"/>
        </w:rPr>
        <w:t>ei entra em vigor na data de sua publicação.</w:t>
      </w:r>
    </w:p>
    <w:p w:rsidR="000D09F4" w:rsidRPr="00646520" w:rsidRDefault="000D09F4" w:rsidP="005839BA">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4D560E">
        <w:rPr>
          <w:rFonts w:ascii="Calibri" w:hAnsi="Calibri" w:cs="Calibri"/>
          <w:sz w:val="24"/>
          <w:szCs w:val="24"/>
        </w:rPr>
        <w:t>05</w:t>
      </w:r>
      <w:r w:rsidR="001E225D">
        <w:rPr>
          <w:rFonts w:ascii="Calibri" w:hAnsi="Calibri" w:cs="Calibri"/>
          <w:sz w:val="24"/>
          <w:szCs w:val="24"/>
        </w:rPr>
        <w:t xml:space="preserve"> </w:t>
      </w:r>
      <w:r w:rsidR="00C62685">
        <w:rPr>
          <w:rFonts w:ascii="Calibri" w:hAnsi="Calibri" w:cs="Calibri"/>
          <w:sz w:val="24"/>
          <w:szCs w:val="24"/>
        </w:rPr>
        <w:t>(</w:t>
      </w:r>
      <w:r w:rsidR="004D560E">
        <w:rPr>
          <w:rFonts w:ascii="Calibri" w:hAnsi="Calibri" w:cs="Calibri"/>
          <w:sz w:val="24"/>
          <w:szCs w:val="24"/>
        </w:rPr>
        <w:t>cinco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D560E">
        <w:rPr>
          <w:rFonts w:ascii="Calibri" w:hAnsi="Calibri" w:cs="Calibri"/>
          <w:sz w:val="24"/>
          <w:szCs w:val="24"/>
        </w:rPr>
        <w:t>setembr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E17990">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1799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1799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5EFD"/>
    <w:rsid w:val="00087DD8"/>
    <w:rsid w:val="000920F2"/>
    <w:rsid w:val="00093B8E"/>
    <w:rsid w:val="00093EA8"/>
    <w:rsid w:val="000A1CD6"/>
    <w:rsid w:val="000C27F3"/>
    <w:rsid w:val="000C7B0C"/>
    <w:rsid w:val="000C7B3D"/>
    <w:rsid w:val="000D09F4"/>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27F9"/>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483"/>
    <w:rsid w:val="00456D80"/>
    <w:rsid w:val="00457A0C"/>
    <w:rsid w:val="004641BA"/>
    <w:rsid w:val="00475087"/>
    <w:rsid w:val="004802E5"/>
    <w:rsid w:val="004A1B2C"/>
    <w:rsid w:val="004A3B55"/>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839BA"/>
    <w:rsid w:val="0059443B"/>
    <w:rsid w:val="005A56CA"/>
    <w:rsid w:val="005B2A18"/>
    <w:rsid w:val="005B6589"/>
    <w:rsid w:val="005B6683"/>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D1FD7"/>
    <w:rsid w:val="007D47C7"/>
    <w:rsid w:val="007F1B26"/>
    <w:rsid w:val="00800D6C"/>
    <w:rsid w:val="00806F0F"/>
    <w:rsid w:val="00817076"/>
    <w:rsid w:val="00841F59"/>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294E"/>
    <w:rsid w:val="009A7F37"/>
    <w:rsid w:val="009B4EE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58EF"/>
    <w:rsid w:val="00A766FF"/>
    <w:rsid w:val="00A77C66"/>
    <w:rsid w:val="00A83E46"/>
    <w:rsid w:val="00A84B34"/>
    <w:rsid w:val="00A87BA4"/>
    <w:rsid w:val="00A90517"/>
    <w:rsid w:val="00A97887"/>
    <w:rsid w:val="00AA4330"/>
    <w:rsid w:val="00AB0860"/>
    <w:rsid w:val="00AB2D07"/>
    <w:rsid w:val="00AC3F41"/>
    <w:rsid w:val="00AC7B9C"/>
    <w:rsid w:val="00AD14F9"/>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17990"/>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967</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151</cp:revision>
  <cp:lastPrinted>2018-06-26T22:41:00Z</cp:lastPrinted>
  <dcterms:created xsi:type="dcterms:W3CDTF">2016-08-16T19:55:00Z</dcterms:created>
  <dcterms:modified xsi:type="dcterms:W3CDTF">2018-09-04T21:15:00Z</dcterms:modified>
</cp:coreProperties>
</file>