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C85959">
        <w:rPr>
          <w:rFonts w:ascii="Arial" w:hAnsi="Arial" w:cs="Arial"/>
          <w:sz w:val="24"/>
          <w:szCs w:val="24"/>
        </w:rPr>
        <w:t>31</w:t>
      </w:r>
      <w:r w:rsidRPr="00EF75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7583">
        <w:rPr>
          <w:rFonts w:ascii="Arial" w:hAnsi="Arial" w:cs="Arial"/>
          <w:sz w:val="24"/>
          <w:szCs w:val="24"/>
        </w:rPr>
        <w:t>de</w:t>
      </w:r>
      <w:proofErr w:type="spellEnd"/>
      <w:r w:rsidRPr="00EF7583">
        <w:rPr>
          <w:rFonts w:ascii="Arial" w:hAnsi="Arial" w:cs="Arial"/>
          <w:sz w:val="24"/>
          <w:szCs w:val="24"/>
        </w:rPr>
        <w:t xml:space="preserve"> </w:t>
      </w:r>
      <w:r w:rsidR="008B13B9">
        <w:rPr>
          <w:rFonts w:ascii="Arial" w:hAnsi="Arial" w:cs="Arial"/>
          <w:sz w:val="24"/>
          <w:szCs w:val="24"/>
        </w:rPr>
        <w:t>julh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>aprovando</w:t>
      </w:r>
      <w:r w:rsidR="00C85959">
        <w:rPr>
          <w:rFonts w:ascii="Arial" w:hAnsi="Arial" w:cs="Arial"/>
          <w:sz w:val="24"/>
          <w:szCs w:val="24"/>
        </w:rPr>
        <w:t>, em segunda discussão e votação,</w:t>
      </w:r>
      <w:r w:rsidR="00CE7817" w:rsidRPr="00EF7583">
        <w:rPr>
          <w:rFonts w:ascii="Arial" w:hAnsi="Arial" w:cs="Arial"/>
          <w:sz w:val="24"/>
          <w:szCs w:val="24"/>
        </w:rPr>
        <w:t xml:space="preserve">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</w:t>
      </w:r>
      <w:r w:rsidR="00C85959">
        <w:rPr>
          <w:rFonts w:ascii="Arial" w:hAnsi="Arial" w:cs="Arial"/>
          <w:sz w:val="24"/>
          <w:szCs w:val="24"/>
        </w:rPr>
        <w:t xml:space="preserve">Complementar </w:t>
      </w:r>
      <w:r w:rsidR="00CE7817" w:rsidRPr="00EF7583">
        <w:rPr>
          <w:rFonts w:ascii="Arial" w:hAnsi="Arial" w:cs="Arial"/>
          <w:sz w:val="24"/>
          <w:szCs w:val="24"/>
        </w:rPr>
        <w:t xml:space="preserve">nº </w:t>
      </w:r>
      <w:r w:rsidR="00C85959">
        <w:rPr>
          <w:rFonts w:ascii="Arial" w:hAnsi="Arial" w:cs="Arial"/>
          <w:sz w:val="24"/>
          <w:szCs w:val="24"/>
        </w:rPr>
        <w:t>014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Pr="00C85959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14"/>
          <w:szCs w:val="14"/>
        </w:rPr>
      </w:pPr>
    </w:p>
    <w:p w:rsidR="00EF7583" w:rsidRPr="00C85959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14"/>
          <w:szCs w:val="1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</w:t>
      </w:r>
      <w:r w:rsidR="00C85959">
        <w:rPr>
          <w:b/>
          <w:bCs/>
          <w:sz w:val="32"/>
          <w:szCs w:val="32"/>
        </w:rPr>
        <w:t xml:space="preserve">COMPLEMENTAR </w:t>
      </w:r>
      <w:r w:rsidR="00CC2294">
        <w:rPr>
          <w:b/>
          <w:bCs/>
          <w:sz w:val="32"/>
          <w:szCs w:val="32"/>
        </w:rPr>
        <w:t xml:space="preserve">Nº </w:t>
      </w:r>
      <w:r w:rsidR="00C85959">
        <w:rPr>
          <w:b/>
          <w:bCs/>
          <w:sz w:val="32"/>
          <w:szCs w:val="32"/>
        </w:rPr>
        <w:t>014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9C6450">
        <w:rPr>
          <w:b/>
          <w:bCs/>
          <w:sz w:val="32"/>
          <w:szCs w:val="32"/>
        </w:rPr>
        <w:t>8</w:t>
      </w:r>
    </w:p>
    <w:p w:rsidR="00CC2294" w:rsidRPr="00C85959" w:rsidRDefault="00CC2294" w:rsidP="00CC2294">
      <w:pPr>
        <w:jc w:val="both"/>
        <w:rPr>
          <w:rFonts w:ascii="Arial" w:hAnsi="Arial" w:cs="Arial"/>
          <w:sz w:val="14"/>
          <w:szCs w:val="14"/>
        </w:rPr>
      </w:pPr>
    </w:p>
    <w:p w:rsidR="00CC2294" w:rsidRPr="00C85959" w:rsidRDefault="00CC2294" w:rsidP="00CC2294">
      <w:pPr>
        <w:jc w:val="both"/>
        <w:rPr>
          <w:rFonts w:ascii="Arial" w:hAnsi="Arial" w:cs="Arial"/>
          <w:sz w:val="14"/>
          <w:szCs w:val="14"/>
        </w:rPr>
      </w:pPr>
    </w:p>
    <w:p w:rsidR="00CC2294" w:rsidRPr="00CC2294" w:rsidRDefault="00C85959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C85959">
        <w:rPr>
          <w:rFonts w:ascii="Arial" w:hAnsi="Arial" w:cs="Arial"/>
          <w:sz w:val="22"/>
          <w:szCs w:val="22"/>
        </w:rPr>
        <w:t>Dispõe sobre o desdobro de terrenos com áreas que resultem em lotes com áreas não inferiores a 125 metros quadrados e testada não inferior a 5,00 metros e dá outras providências.</w:t>
      </w:r>
    </w:p>
    <w:p w:rsidR="00CC2294" w:rsidRPr="00C85959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4"/>
          <w:szCs w:val="14"/>
        </w:rPr>
      </w:pPr>
    </w:p>
    <w:p w:rsidR="00CC2294" w:rsidRPr="00C85959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4"/>
          <w:szCs w:val="14"/>
        </w:rPr>
      </w:pPr>
    </w:p>
    <w:p w:rsidR="00C85959" w:rsidRPr="00C85959" w:rsidRDefault="00C85959" w:rsidP="00C859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85959">
        <w:rPr>
          <w:rFonts w:ascii="Arial" w:hAnsi="Arial" w:cs="Arial"/>
          <w:sz w:val="24"/>
          <w:szCs w:val="24"/>
        </w:rPr>
        <w:tab/>
      </w:r>
      <w:r w:rsidRPr="00C85959">
        <w:rPr>
          <w:rFonts w:ascii="Arial" w:hAnsi="Arial" w:cs="Arial"/>
          <w:sz w:val="24"/>
          <w:szCs w:val="24"/>
        </w:rPr>
        <w:tab/>
        <w:t>Art. 1º Fica autorizado, em loteamentos aprovados antes da vigência da Lei Complementar nº 350, de 27 de dezembro de 2005, o desdobro de terrenos que resultem em lotes com áreas não inferiores a 125m² (cento e vinte cinco metros quadrados) e testada não inferior a 5,0m (cinco metros).</w:t>
      </w:r>
    </w:p>
    <w:p w:rsidR="00C85959" w:rsidRPr="00C85959" w:rsidRDefault="00C85959" w:rsidP="00C859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4"/>
          <w:szCs w:val="14"/>
        </w:rPr>
      </w:pPr>
    </w:p>
    <w:p w:rsidR="00C85959" w:rsidRPr="00C85959" w:rsidRDefault="00C85959" w:rsidP="00C859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85959">
        <w:rPr>
          <w:rFonts w:ascii="Arial" w:hAnsi="Arial" w:cs="Arial"/>
          <w:sz w:val="24"/>
          <w:szCs w:val="24"/>
        </w:rPr>
        <w:tab/>
      </w:r>
      <w:r w:rsidRPr="00C85959">
        <w:rPr>
          <w:rFonts w:ascii="Arial" w:hAnsi="Arial" w:cs="Arial"/>
          <w:sz w:val="24"/>
          <w:szCs w:val="24"/>
        </w:rPr>
        <w:tab/>
        <w:t>Parágrafo único. O desdobro autorizado pelo “caput” deste artigo será permitido apenas para terrenos situados na área urbana municipal.</w:t>
      </w:r>
    </w:p>
    <w:p w:rsidR="00C85959" w:rsidRPr="00C85959" w:rsidRDefault="00C85959" w:rsidP="00C859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4"/>
          <w:szCs w:val="14"/>
        </w:rPr>
      </w:pPr>
    </w:p>
    <w:p w:rsidR="00C85959" w:rsidRPr="00C85959" w:rsidRDefault="00C85959" w:rsidP="00C859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85959">
        <w:rPr>
          <w:rFonts w:ascii="Arial" w:hAnsi="Arial" w:cs="Arial"/>
          <w:sz w:val="24"/>
          <w:szCs w:val="24"/>
        </w:rPr>
        <w:tab/>
      </w:r>
      <w:r w:rsidRPr="00C85959">
        <w:rPr>
          <w:rFonts w:ascii="Arial" w:hAnsi="Arial" w:cs="Arial"/>
          <w:sz w:val="24"/>
          <w:szCs w:val="24"/>
        </w:rPr>
        <w:tab/>
        <w:t>Art. 2º O desdobro de terrenos autorizado pelo art. 1º desta lei:</w:t>
      </w:r>
    </w:p>
    <w:p w:rsidR="00C85959" w:rsidRPr="00C85959" w:rsidRDefault="00C85959" w:rsidP="00C859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85959">
        <w:rPr>
          <w:rFonts w:ascii="Arial" w:hAnsi="Arial" w:cs="Arial"/>
          <w:sz w:val="24"/>
          <w:szCs w:val="24"/>
        </w:rPr>
        <w:tab/>
      </w:r>
      <w:r w:rsidRPr="00C85959">
        <w:rPr>
          <w:rFonts w:ascii="Arial" w:hAnsi="Arial" w:cs="Arial"/>
          <w:sz w:val="24"/>
          <w:szCs w:val="24"/>
        </w:rPr>
        <w:tab/>
        <w:t>I – somente será permitido se resultar em 2 (dois) lotes;</w:t>
      </w:r>
    </w:p>
    <w:p w:rsidR="00C85959" w:rsidRPr="00C85959" w:rsidRDefault="00C85959" w:rsidP="00C859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85959">
        <w:rPr>
          <w:rFonts w:ascii="Arial" w:hAnsi="Arial" w:cs="Arial"/>
          <w:sz w:val="24"/>
          <w:szCs w:val="24"/>
        </w:rPr>
        <w:tab/>
      </w:r>
      <w:r w:rsidRPr="00C85959">
        <w:rPr>
          <w:rFonts w:ascii="Arial" w:hAnsi="Arial" w:cs="Arial"/>
          <w:sz w:val="24"/>
          <w:szCs w:val="24"/>
        </w:rPr>
        <w:tab/>
        <w:t>II - somente será permitido em ZEPP (Zonas Especiais de Estruturação Predominantemente Produtivas) e ZEPIS (Zona Estrutural de Produção Sustentável), nos casos em que os terrenos originais tenham destin</w:t>
      </w:r>
      <w:bookmarkStart w:id="0" w:name="_GoBack"/>
      <w:bookmarkEnd w:id="0"/>
      <w:r w:rsidRPr="00C85959">
        <w:rPr>
          <w:rFonts w:ascii="Arial" w:hAnsi="Arial" w:cs="Arial"/>
          <w:sz w:val="24"/>
          <w:szCs w:val="24"/>
        </w:rPr>
        <w:t>ação residencial, sendo vedado para terrenos com destinação original comercial e industrial;</w:t>
      </w:r>
    </w:p>
    <w:p w:rsidR="00C85959" w:rsidRPr="00C85959" w:rsidRDefault="00C85959" w:rsidP="00C859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85959">
        <w:rPr>
          <w:rFonts w:ascii="Arial" w:hAnsi="Arial" w:cs="Arial"/>
          <w:sz w:val="24"/>
          <w:szCs w:val="24"/>
        </w:rPr>
        <w:tab/>
      </w:r>
      <w:r w:rsidRPr="00C85959">
        <w:rPr>
          <w:rFonts w:ascii="Arial" w:hAnsi="Arial" w:cs="Arial"/>
          <w:sz w:val="24"/>
          <w:szCs w:val="24"/>
        </w:rPr>
        <w:tab/>
        <w:t>III – somente será deferido a requerentes que sejam proprietários de até 03 (três) imóveis no município de Araraquara;</w:t>
      </w:r>
    </w:p>
    <w:p w:rsidR="00C85959" w:rsidRPr="00C85959" w:rsidRDefault="00C85959" w:rsidP="00C859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85959">
        <w:rPr>
          <w:rFonts w:ascii="Arial" w:hAnsi="Arial" w:cs="Arial"/>
          <w:sz w:val="24"/>
          <w:szCs w:val="24"/>
        </w:rPr>
        <w:tab/>
      </w:r>
      <w:r w:rsidRPr="00C85959">
        <w:rPr>
          <w:rFonts w:ascii="Arial" w:hAnsi="Arial" w:cs="Arial"/>
          <w:sz w:val="24"/>
          <w:szCs w:val="24"/>
        </w:rPr>
        <w:tab/>
        <w:t>IV - somente poderá ser solicitado para apenas um imóvel de propriedade do interessado, caso seja titular de mais de um imóvel, observando-se o disposto no inciso III deste artigo;</w:t>
      </w:r>
    </w:p>
    <w:p w:rsidR="00C85959" w:rsidRPr="00C85959" w:rsidRDefault="00C85959" w:rsidP="00C859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85959">
        <w:rPr>
          <w:rFonts w:ascii="Arial" w:hAnsi="Arial" w:cs="Arial"/>
          <w:sz w:val="24"/>
          <w:szCs w:val="24"/>
        </w:rPr>
        <w:tab/>
      </w:r>
      <w:r w:rsidRPr="00C85959">
        <w:rPr>
          <w:rFonts w:ascii="Arial" w:hAnsi="Arial" w:cs="Arial"/>
          <w:sz w:val="24"/>
          <w:szCs w:val="24"/>
        </w:rPr>
        <w:tab/>
        <w:t>V - não será deferido para imóveis cujas matrículas, direta ou indiretamente, tenham sido anteriormente beneficiadas por processos anteriores de desdobro;</w:t>
      </w:r>
    </w:p>
    <w:p w:rsidR="00C85959" w:rsidRPr="00C85959" w:rsidRDefault="00C85959" w:rsidP="00C859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85959">
        <w:rPr>
          <w:rFonts w:ascii="Arial" w:hAnsi="Arial" w:cs="Arial"/>
          <w:sz w:val="24"/>
          <w:szCs w:val="24"/>
        </w:rPr>
        <w:tab/>
      </w:r>
      <w:r w:rsidRPr="00C85959">
        <w:rPr>
          <w:rFonts w:ascii="Arial" w:hAnsi="Arial" w:cs="Arial"/>
          <w:sz w:val="24"/>
          <w:szCs w:val="24"/>
        </w:rPr>
        <w:tab/>
        <w:t>VI – não será deferido em loteamentos de chácaras de recreio;</w:t>
      </w:r>
    </w:p>
    <w:p w:rsidR="00C85959" w:rsidRPr="00C85959" w:rsidRDefault="00C85959" w:rsidP="00C859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85959">
        <w:rPr>
          <w:rFonts w:ascii="Arial" w:hAnsi="Arial" w:cs="Arial"/>
          <w:sz w:val="24"/>
          <w:szCs w:val="24"/>
        </w:rPr>
        <w:tab/>
      </w:r>
      <w:r w:rsidRPr="00C85959">
        <w:rPr>
          <w:rFonts w:ascii="Arial" w:hAnsi="Arial" w:cs="Arial"/>
          <w:sz w:val="24"/>
          <w:szCs w:val="24"/>
        </w:rPr>
        <w:tab/>
        <w:t>VII - não poderá ser aplicado em loteamentos nos quais a matricula dos terrenos contenha restrições quanto ao desdobro;</w:t>
      </w:r>
    </w:p>
    <w:p w:rsidR="00C85959" w:rsidRPr="00C85959" w:rsidRDefault="00C85959" w:rsidP="00C859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85959">
        <w:rPr>
          <w:rFonts w:ascii="Arial" w:hAnsi="Arial" w:cs="Arial"/>
          <w:sz w:val="24"/>
          <w:szCs w:val="24"/>
        </w:rPr>
        <w:tab/>
      </w:r>
      <w:r w:rsidRPr="00C85959">
        <w:rPr>
          <w:rFonts w:ascii="Arial" w:hAnsi="Arial" w:cs="Arial"/>
          <w:sz w:val="24"/>
          <w:szCs w:val="24"/>
        </w:rPr>
        <w:tab/>
        <w:t>VIII - não poderá ser aplicado em loteamentos localizados nos Zoneamentos ZOPRE (Zona Predominantemente Residencial) e AEIU (Áreas de Especial Interesse Urbanístico).</w:t>
      </w:r>
    </w:p>
    <w:p w:rsidR="00C85959" w:rsidRPr="00C85959" w:rsidRDefault="00C85959" w:rsidP="00C859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4"/>
          <w:szCs w:val="14"/>
        </w:rPr>
      </w:pPr>
    </w:p>
    <w:p w:rsidR="00C85959" w:rsidRPr="00C85959" w:rsidRDefault="00C85959" w:rsidP="00C859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85959">
        <w:rPr>
          <w:rFonts w:ascii="Arial" w:hAnsi="Arial" w:cs="Arial"/>
          <w:sz w:val="24"/>
          <w:szCs w:val="24"/>
        </w:rPr>
        <w:tab/>
      </w:r>
      <w:r w:rsidRPr="00C85959">
        <w:rPr>
          <w:rFonts w:ascii="Arial" w:hAnsi="Arial" w:cs="Arial"/>
          <w:sz w:val="24"/>
          <w:szCs w:val="24"/>
        </w:rPr>
        <w:tab/>
        <w:t>Parágrafo único. A comprovação do disposto no inciso III deste artigo dar-se-á através de certidão do Cartório de Registro de Imóveis – CRI na qual conste a relação das propriedades do requerente.</w:t>
      </w:r>
    </w:p>
    <w:p w:rsidR="00C85959" w:rsidRPr="00C85959" w:rsidRDefault="00C85959" w:rsidP="00C859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4"/>
          <w:szCs w:val="14"/>
        </w:rPr>
      </w:pPr>
    </w:p>
    <w:p w:rsidR="00C85959" w:rsidRPr="00C85959" w:rsidRDefault="00C85959" w:rsidP="00C859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85959">
        <w:rPr>
          <w:rFonts w:ascii="Arial" w:hAnsi="Arial" w:cs="Arial"/>
          <w:sz w:val="24"/>
          <w:szCs w:val="24"/>
        </w:rPr>
        <w:lastRenderedPageBreak/>
        <w:tab/>
      </w:r>
      <w:r w:rsidRPr="00C85959">
        <w:rPr>
          <w:rFonts w:ascii="Arial" w:hAnsi="Arial" w:cs="Arial"/>
          <w:sz w:val="24"/>
          <w:szCs w:val="24"/>
        </w:rPr>
        <w:tab/>
        <w:t>Art. 3º A solicitação de desdobro deverá ser protocolada na Prefeitura e será instruída com os seguintes documentos:</w:t>
      </w:r>
    </w:p>
    <w:p w:rsidR="00C85959" w:rsidRPr="00C85959" w:rsidRDefault="00C85959" w:rsidP="00C859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85959">
        <w:rPr>
          <w:rFonts w:ascii="Arial" w:hAnsi="Arial" w:cs="Arial"/>
          <w:sz w:val="24"/>
          <w:szCs w:val="24"/>
        </w:rPr>
        <w:tab/>
      </w:r>
      <w:r w:rsidRPr="00C85959">
        <w:rPr>
          <w:rFonts w:ascii="Arial" w:hAnsi="Arial" w:cs="Arial"/>
          <w:sz w:val="24"/>
          <w:szCs w:val="24"/>
        </w:rPr>
        <w:tab/>
        <w:t>I - certidão de propriedade atualizada do imóvel em nome do requerente, com data de emissão não superior a 30 (trinta) dias, e documentos emitidos por órgãos públicos ou empresas prestadoras de serviços públicos, que comprovem a posse do imóvel há mais de 02 (dois) anos, contados da publicação da presente lei complementar;</w:t>
      </w:r>
    </w:p>
    <w:p w:rsidR="00C85959" w:rsidRPr="00C85959" w:rsidRDefault="00C85959" w:rsidP="00C859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85959">
        <w:rPr>
          <w:rFonts w:ascii="Arial" w:hAnsi="Arial" w:cs="Arial"/>
          <w:sz w:val="24"/>
          <w:szCs w:val="24"/>
        </w:rPr>
        <w:tab/>
      </w:r>
      <w:r w:rsidRPr="00C85959">
        <w:rPr>
          <w:rFonts w:ascii="Arial" w:hAnsi="Arial" w:cs="Arial"/>
          <w:sz w:val="24"/>
          <w:szCs w:val="24"/>
        </w:rPr>
        <w:tab/>
        <w:t>II - Certidão Negativa de Débitos Municipais do imóvel a ser desdobrado;</w:t>
      </w:r>
    </w:p>
    <w:p w:rsidR="00C85959" w:rsidRPr="00C85959" w:rsidRDefault="00C85959" w:rsidP="00C859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85959">
        <w:rPr>
          <w:rFonts w:ascii="Arial" w:hAnsi="Arial" w:cs="Arial"/>
          <w:sz w:val="24"/>
          <w:szCs w:val="24"/>
        </w:rPr>
        <w:tab/>
      </w:r>
      <w:r w:rsidRPr="00C85959">
        <w:rPr>
          <w:rFonts w:ascii="Arial" w:hAnsi="Arial" w:cs="Arial"/>
          <w:sz w:val="24"/>
          <w:szCs w:val="24"/>
        </w:rPr>
        <w:tab/>
        <w:t>III – contrato de compra e venda do imóvel, além da matrícula atualizada do imóvel, no caso de propriedade não quitada;</w:t>
      </w:r>
    </w:p>
    <w:p w:rsidR="00C85959" w:rsidRPr="00C85959" w:rsidRDefault="00C85959" w:rsidP="00C859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85959">
        <w:rPr>
          <w:rFonts w:ascii="Arial" w:hAnsi="Arial" w:cs="Arial"/>
          <w:sz w:val="24"/>
          <w:szCs w:val="24"/>
        </w:rPr>
        <w:tab/>
      </w:r>
      <w:r w:rsidRPr="00C85959">
        <w:rPr>
          <w:rFonts w:ascii="Arial" w:hAnsi="Arial" w:cs="Arial"/>
          <w:sz w:val="24"/>
          <w:szCs w:val="24"/>
        </w:rPr>
        <w:tab/>
        <w:t>IV – projeto de desdobro formulado em conformidade com o padrão municipal para a apresentação de projetos;</w:t>
      </w:r>
    </w:p>
    <w:p w:rsidR="00C85959" w:rsidRPr="00C85959" w:rsidRDefault="00C85959" w:rsidP="00C859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85959">
        <w:rPr>
          <w:rFonts w:ascii="Arial" w:hAnsi="Arial" w:cs="Arial"/>
          <w:sz w:val="24"/>
          <w:szCs w:val="24"/>
        </w:rPr>
        <w:tab/>
      </w:r>
      <w:r w:rsidRPr="00C85959">
        <w:rPr>
          <w:rFonts w:ascii="Arial" w:hAnsi="Arial" w:cs="Arial"/>
          <w:sz w:val="24"/>
          <w:szCs w:val="24"/>
        </w:rPr>
        <w:tab/>
        <w:t>V – declaração de viabilidade, emitida pelo Departamento Autônomo de Água e Esgotos, quanto à existência de redes de distribuição de água e coleta de esgoto, em terrenos de esquina;</w:t>
      </w:r>
    </w:p>
    <w:p w:rsidR="00C85959" w:rsidRPr="00C85959" w:rsidRDefault="00C85959" w:rsidP="00C859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85959">
        <w:rPr>
          <w:rFonts w:ascii="Arial" w:hAnsi="Arial" w:cs="Arial"/>
          <w:sz w:val="24"/>
          <w:szCs w:val="24"/>
        </w:rPr>
        <w:tab/>
      </w:r>
      <w:r w:rsidRPr="00C85959">
        <w:rPr>
          <w:rFonts w:ascii="Arial" w:hAnsi="Arial" w:cs="Arial"/>
          <w:sz w:val="24"/>
          <w:szCs w:val="24"/>
        </w:rPr>
        <w:tab/>
        <w:t>VI – comprovante de pedido de regularização das construções eventualmente existentes, na forma da lei, expedido pelos órgãos competentes;</w:t>
      </w:r>
    </w:p>
    <w:p w:rsidR="00C85959" w:rsidRPr="00C85959" w:rsidRDefault="00C85959" w:rsidP="00C859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85959">
        <w:rPr>
          <w:rFonts w:ascii="Arial" w:hAnsi="Arial" w:cs="Arial"/>
          <w:sz w:val="24"/>
          <w:szCs w:val="24"/>
        </w:rPr>
        <w:tab/>
      </w:r>
      <w:r w:rsidRPr="00C85959">
        <w:rPr>
          <w:rFonts w:ascii="Arial" w:hAnsi="Arial" w:cs="Arial"/>
          <w:sz w:val="24"/>
          <w:szCs w:val="24"/>
        </w:rPr>
        <w:tab/>
        <w:t xml:space="preserve">VII – recolhimento de taxa de desdobro, no valor de 40 </w:t>
      </w:r>
      <w:proofErr w:type="spellStart"/>
      <w:r w:rsidRPr="00C85959">
        <w:rPr>
          <w:rFonts w:ascii="Arial" w:hAnsi="Arial" w:cs="Arial"/>
          <w:sz w:val="24"/>
          <w:szCs w:val="24"/>
        </w:rPr>
        <w:t>UFMs</w:t>
      </w:r>
      <w:proofErr w:type="spellEnd"/>
      <w:r w:rsidRPr="00C85959">
        <w:rPr>
          <w:rFonts w:ascii="Arial" w:hAnsi="Arial" w:cs="Arial"/>
          <w:sz w:val="24"/>
          <w:szCs w:val="24"/>
        </w:rPr>
        <w:t>.</w:t>
      </w:r>
    </w:p>
    <w:p w:rsidR="00C85959" w:rsidRPr="00C85959" w:rsidRDefault="00C85959" w:rsidP="00C859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4"/>
          <w:szCs w:val="14"/>
        </w:rPr>
      </w:pPr>
    </w:p>
    <w:p w:rsidR="00C85959" w:rsidRPr="00C85959" w:rsidRDefault="00C85959" w:rsidP="00C859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85959">
        <w:rPr>
          <w:rFonts w:ascii="Arial" w:hAnsi="Arial" w:cs="Arial"/>
          <w:sz w:val="24"/>
          <w:szCs w:val="24"/>
        </w:rPr>
        <w:tab/>
      </w:r>
      <w:r w:rsidRPr="00C85959">
        <w:rPr>
          <w:rFonts w:ascii="Arial" w:hAnsi="Arial" w:cs="Arial"/>
          <w:sz w:val="24"/>
          <w:szCs w:val="24"/>
        </w:rPr>
        <w:tab/>
        <w:t>Parágrafo único. O valor devido a título de taxa de desdobro, constante do inciso VII deste artigo, poderá ser parcelado, na forma regulamentar, mediante requerimento do interessado e desde que haja laudo socioeconômico favorável emitido pelo Município.</w:t>
      </w:r>
    </w:p>
    <w:p w:rsidR="00C85959" w:rsidRPr="00C85959" w:rsidRDefault="00C85959" w:rsidP="00C859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4"/>
          <w:szCs w:val="14"/>
        </w:rPr>
      </w:pPr>
    </w:p>
    <w:p w:rsidR="00C85959" w:rsidRPr="00C85959" w:rsidRDefault="00C85959" w:rsidP="00C859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85959">
        <w:rPr>
          <w:rFonts w:ascii="Arial" w:hAnsi="Arial" w:cs="Arial"/>
          <w:sz w:val="24"/>
          <w:szCs w:val="24"/>
        </w:rPr>
        <w:tab/>
      </w:r>
      <w:r w:rsidRPr="00C85959">
        <w:rPr>
          <w:rFonts w:ascii="Arial" w:hAnsi="Arial" w:cs="Arial"/>
          <w:sz w:val="24"/>
          <w:szCs w:val="24"/>
        </w:rPr>
        <w:tab/>
        <w:t>Art. 4º Em se encontrando o processo de desdobro em estágio de “comunique-se”, as pendências apontadas deverão ser sanadas pelo requerente em até 90 (noventa) dias, sob pena de arquivamento do processo, exceto para:</w:t>
      </w:r>
    </w:p>
    <w:p w:rsidR="00C85959" w:rsidRPr="00C85959" w:rsidRDefault="00C85959" w:rsidP="00C859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85959">
        <w:rPr>
          <w:rFonts w:ascii="Arial" w:hAnsi="Arial" w:cs="Arial"/>
          <w:sz w:val="24"/>
          <w:szCs w:val="24"/>
        </w:rPr>
        <w:tab/>
      </w:r>
      <w:r w:rsidRPr="00C85959">
        <w:rPr>
          <w:rFonts w:ascii="Arial" w:hAnsi="Arial" w:cs="Arial"/>
          <w:sz w:val="24"/>
          <w:szCs w:val="24"/>
        </w:rPr>
        <w:tab/>
        <w:t xml:space="preserve">I - casos em que a impossibilidade de atendimento ao “comunique-se” decorra da tramitação de </w:t>
      </w:r>
      <w:proofErr w:type="spellStart"/>
      <w:r w:rsidRPr="00C85959">
        <w:rPr>
          <w:rFonts w:ascii="Arial" w:hAnsi="Arial" w:cs="Arial"/>
          <w:sz w:val="24"/>
          <w:szCs w:val="24"/>
        </w:rPr>
        <w:t>processo</w:t>
      </w:r>
      <w:proofErr w:type="spellEnd"/>
      <w:r w:rsidRPr="00C85959">
        <w:rPr>
          <w:rFonts w:ascii="Arial" w:hAnsi="Arial" w:cs="Arial"/>
          <w:sz w:val="24"/>
          <w:szCs w:val="24"/>
        </w:rPr>
        <w:t xml:space="preserve"> de retificação judicial das medidas do terreno;</w:t>
      </w:r>
    </w:p>
    <w:p w:rsidR="00C85959" w:rsidRPr="00C85959" w:rsidRDefault="00C85959" w:rsidP="00C859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85959">
        <w:rPr>
          <w:rFonts w:ascii="Arial" w:hAnsi="Arial" w:cs="Arial"/>
          <w:sz w:val="24"/>
          <w:szCs w:val="24"/>
        </w:rPr>
        <w:tab/>
      </w:r>
      <w:r w:rsidRPr="00C85959">
        <w:rPr>
          <w:rFonts w:ascii="Arial" w:hAnsi="Arial" w:cs="Arial"/>
          <w:sz w:val="24"/>
          <w:szCs w:val="24"/>
        </w:rPr>
        <w:tab/>
        <w:t>II - casos em que esteja em curso parcelamentos de débitos municipais, ocasião na qual a aprovação do desdobro ocorrerá após a quitação do débito.</w:t>
      </w:r>
    </w:p>
    <w:p w:rsidR="00C85959" w:rsidRPr="00C85959" w:rsidRDefault="00C85959" w:rsidP="00C859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4"/>
          <w:szCs w:val="14"/>
        </w:rPr>
      </w:pPr>
    </w:p>
    <w:p w:rsidR="00C85959" w:rsidRPr="00C85959" w:rsidRDefault="00C85959" w:rsidP="00C859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85959">
        <w:rPr>
          <w:rFonts w:ascii="Arial" w:hAnsi="Arial" w:cs="Arial"/>
          <w:sz w:val="24"/>
          <w:szCs w:val="24"/>
        </w:rPr>
        <w:tab/>
      </w:r>
      <w:r w:rsidRPr="00C85959">
        <w:rPr>
          <w:rFonts w:ascii="Arial" w:hAnsi="Arial" w:cs="Arial"/>
          <w:sz w:val="24"/>
          <w:szCs w:val="24"/>
        </w:rPr>
        <w:tab/>
        <w:t>Art. 5º Após a aprovação do projeto de desdobro, o proprietário deverá encaminhar o projeto aprovado ao Cartório de Registro de Imóveis para averbação das novas matriculas.</w:t>
      </w:r>
    </w:p>
    <w:p w:rsidR="00C85959" w:rsidRPr="00C85959" w:rsidRDefault="00C85959" w:rsidP="00C859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4"/>
          <w:szCs w:val="14"/>
        </w:rPr>
      </w:pPr>
    </w:p>
    <w:p w:rsidR="00C85959" w:rsidRPr="00C85959" w:rsidRDefault="00C85959" w:rsidP="00C859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85959">
        <w:rPr>
          <w:rFonts w:ascii="Arial" w:hAnsi="Arial" w:cs="Arial"/>
          <w:sz w:val="24"/>
          <w:szCs w:val="24"/>
        </w:rPr>
        <w:tab/>
      </w:r>
      <w:r w:rsidRPr="00C85959">
        <w:rPr>
          <w:rFonts w:ascii="Arial" w:hAnsi="Arial" w:cs="Arial"/>
          <w:sz w:val="24"/>
          <w:szCs w:val="24"/>
        </w:rPr>
        <w:tab/>
        <w:t>Art. 6º Esta lei complementar entra em vigor na data de sua publicação.</w:t>
      </w:r>
    </w:p>
    <w:p w:rsidR="00C85959" w:rsidRPr="00C85959" w:rsidRDefault="00C85959" w:rsidP="00C859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4"/>
          <w:szCs w:val="14"/>
        </w:rPr>
      </w:pPr>
    </w:p>
    <w:p w:rsidR="008B13B9" w:rsidRDefault="00C85959" w:rsidP="00C8595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C85959">
        <w:rPr>
          <w:rFonts w:ascii="Arial" w:hAnsi="Arial" w:cs="Arial"/>
          <w:sz w:val="24"/>
          <w:szCs w:val="24"/>
        </w:rPr>
        <w:tab/>
      </w:r>
      <w:r w:rsidRPr="00C85959">
        <w:rPr>
          <w:rFonts w:ascii="Arial" w:hAnsi="Arial" w:cs="Arial"/>
          <w:sz w:val="24"/>
          <w:szCs w:val="24"/>
        </w:rPr>
        <w:tab/>
        <w:t>Art. 7º Revoga-se a Lei Complementar nº 872, de 08 de julho de 2016.</w:t>
      </w:r>
    </w:p>
    <w:p w:rsidR="008B13B9" w:rsidRPr="00C8595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4"/>
          <w:szCs w:val="1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Pr="00C85959" w:rsidRDefault="00844E26" w:rsidP="00844E26">
      <w:pPr>
        <w:ind w:left="34"/>
        <w:jc w:val="center"/>
        <w:rPr>
          <w:rFonts w:ascii="Arial" w:hAnsi="Arial" w:cs="Arial"/>
          <w:bCs/>
          <w:sz w:val="14"/>
          <w:szCs w:val="14"/>
        </w:rPr>
      </w:pPr>
    </w:p>
    <w:p w:rsidR="00844E26" w:rsidRPr="00C85959" w:rsidRDefault="00844E26" w:rsidP="00844E26">
      <w:pPr>
        <w:ind w:left="34"/>
        <w:jc w:val="center"/>
        <w:rPr>
          <w:rFonts w:ascii="Arial" w:hAnsi="Arial" w:cs="Arial"/>
          <w:bCs/>
          <w:sz w:val="14"/>
          <w:szCs w:val="1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Pr="00C85959" w:rsidRDefault="00844E26" w:rsidP="00844E26">
      <w:pPr>
        <w:ind w:left="34"/>
        <w:jc w:val="center"/>
        <w:rPr>
          <w:rFonts w:ascii="Arial" w:hAnsi="Arial" w:cs="Arial"/>
          <w:bCs/>
          <w:sz w:val="14"/>
          <w:szCs w:val="14"/>
        </w:rPr>
      </w:pPr>
    </w:p>
    <w:p w:rsidR="00844E26" w:rsidRPr="00C85959" w:rsidRDefault="00844E26" w:rsidP="00844E26">
      <w:pPr>
        <w:ind w:left="34"/>
        <w:jc w:val="center"/>
        <w:rPr>
          <w:rFonts w:ascii="Arial" w:hAnsi="Arial" w:cs="Arial"/>
          <w:bCs/>
          <w:sz w:val="14"/>
          <w:szCs w:val="1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959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85959"/>
    <w:rsid w:val="00CC2294"/>
    <w:rsid w:val="00CE7817"/>
    <w:rsid w:val="00D245ED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731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47</cp:revision>
  <cp:lastPrinted>1998-11-10T17:41:00Z</cp:lastPrinted>
  <dcterms:created xsi:type="dcterms:W3CDTF">2017-03-28T14:59:00Z</dcterms:created>
  <dcterms:modified xsi:type="dcterms:W3CDTF">2018-07-30T19:07:00Z</dcterms:modified>
</cp:coreProperties>
</file>